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2.xml" ContentType="application/vnd.openxmlformats-officedocument.wordprocessingml.header+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9C5A" w14:textId="43E416D4" w:rsidR="00713586" w:rsidRPr="00713586" w:rsidRDefault="00713586" w:rsidP="00713586">
      <w:pPr>
        <w:tabs>
          <w:tab w:val="right" w:pos="9639"/>
        </w:tabs>
        <w:spacing w:after="0"/>
        <w:jc w:val="both"/>
        <w:rPr>
          <w:rFonts w:ascii="Arial" w:hAnsi="Arial"/>
          <w:b/>
          <w:i/>
          <w:noProof/>
          <w:sz w:val="24"/>
          <w:szCs w:val="24"/>
          <w:lang w:eastAsia="ko-KR"/>
        </w:rPr>
      </w:pPr>
      <w:bookmarkStart w:id="0" w:name="OLE_LINK1"/>
      <w:bookmarkStart w:id="1" w:name="OLE_LINK2"/>
      <w:r w:rsidRPr="00713586">
        <w:rPr>
          <w:rFonts w:ascii="Arial" w:hAnsi="Arial"/>
          <w:b/>
          <w:sz w:val="24"/>
          <w:szCs w:val="24"/>
        </w:rPr>
        <w:t xml:space="preserve">3GPP TSG </w:t>
      </w:r>
      <w:r w:rsidRPr="00713586">
        <w:rPr>
          <w:rFonts w:ascii="Arial" w:hAnsi="Arial" w:hint="eastAsia"/>
          <w:b/>
          <w:sz w:val="24"/>
          <w:szCs w:val="24"/>
          <w:lang w:eastAsia="ko-KR"/>
        </w:rPr>
        <w:t xml:space="preserve">RAN WG1 </w:t>
      </w:r>
      <w:r w:rsidRPr="00713586">
        <w:rPr>
          <w:rFonts w:ascii="Arial" w:eastAsia="Batang" w:hAnsi="Arial" w:cs="Arial"/>
          <w:b/>
          <w:bCs/>
          <w:sz w:val="24"/>
          <w:szCs w:val="24"/>
          <w:lang w:val="en-US"/>
        </w:rPr>
        <w:t>NR Ad-Hoc#3</w:t>
      </w:r>
      <w:r w:rsidRPr="00713586">
        <w:rPr>
          <w:rFonts w:ascii="Arial" w:hAnsi="Arial" w:hint="eastAsia"/>
          <w:b/>
          <w:sz w:val="24"/>
          <w:szCs w:val="24"/>
          <w:lang w:eastAsia="ko-KR"/>
        </w:rPr>
        <w:tab/>
        <w:t>R1-</w:t>
      </w:r>
      <w:r w:rsidRPr="00713586">
        <w:rPr>
          <w:rFonts w:ascii="Arial" w:hAnsi="Arial"/>
          <w:b/>
          <w:noProof/>
          <w:sz w:val="24"/>
          <w:szCs w:val="24"/>
          <w:lang w:eastAsia="ko-KR"/>
        </w:rPr>
        <w:t>171</w:t>
      </w:r>
      <w:r w:rsidR="009A30C7">
        <w:rPr>
          <w:rFonts w:ascii="Arial" w:hAnsi="Arial"/>
          <w:b/>
          <w:noProof/>
          <w:sz w:val="24"/>
          <w:szCs w:val="24"/>
          <w:lang w:eastAsia="ko-KR"/>
        </w:rPr>
        <w:t>5927</w:t>
      </w:r>
    </w:p>
    <w:bookmarkEnd w:id="0"/>
    <w:bookmarkEnd w:id="1"/>
    <w:p w14:paraId="1D69DF52" w14:textId="77777777" w:rsidR="00713586" w:rsidRPr="00713586" w:rsidRDefault="00713586" w:rsidP="00713586">
      <w:pPr>
        <w:tabs>
          <w:tab w:val="left" w:pos="1985"/>
        </w:tabs>
        <w:spacing w:before="60" w:after="120" w:line="288" w:lineRule="auto"/>
        <w:ind w:left="2048" w:hangingChars="850" w:hanging="2048"/>
        <w:jc w:val="both"/>
        <w:rPr>
          <w:rFonts w:ascii="Arial" w:eastAsia="MS Mincho" w:hAnsi="Arial" w:cs="Arial"/>
          <w:b/>
          <w:bCs/>
          <w:sz w:val="24"/>
          <w:lang w:val="en-US" w:eastAsia="ja-JP"/>
        </w:rPr>
      </w:pPr>
      <w:r w:rsidRPr="00713586">
        <w:rPr>
          <w:rFonts w:ascii="Arial" w:eastAsia="MS Mincho" w:hAnsi="Arial" w:cs="Arial"/>
          <w:b/>
          <w:bCs/>
          <w:sz w:val="24"/>
          <w:lang w:val="en-US" w:eastAsia="ja-JP"/>
        </w:rPr>
        <w:t>Nagoya, Japan, 18th – 21st September 2017</w:t>
      </w:r>
    </w:p>
    <w:p w14:paraId="35436E35" w14:textId="764BC3B5"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2" w:name="Source"/>
      <w:bookmarkEnd w:id="2"/>
      <w:r w:rsidR="00593704">
        <w:rPr>
          <w:rFonts w:ascii="Arial" w:hAnsi="Arial"/>
          <w:sz w:val="24"/>
          <w:lang w:val="en-US" w:eastAsia="ko-KR"/>
        </w:rPr>
        <w:t>6</w:t>
      </w:r>
      <w:r w:rsidRPr="008E3105">
        <w:rPr>
          <w:rFonts w:ascii="Arial" w:hAnsi="Arial"/>
          <w:sz w:val="24"/>
          <w:lang w:val="en-US" w:eastAsia="ko-KR"/>
        </w:rPr>
        <w:t>.</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w:t>
      </w:r>
      <w:r w:rsidR="00B46D0F">
        <w:rPr>
          <w:rFonts w:ascii="Arial" w:hAnsi="Arial"/>
          <w:sz w:val="24"/>
          <w:lang w:val="en-US" w:eastAsia="ko-KR"/>
        </w:rPr>
        <w:t>2</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41D0DDBD"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46776E">
        <w:rPr>
          <w:rFonts w:ascii="Arial" w:hAnsi="Arial"/>
          <w:sz w:val="24"/>
          <w:lang w:val="en-US"/>
        </w:rPr>
        <w:t>C</w:t>
      </w:r>
      <w:r w:rsidR="006F7234" w:rsidRPr="008E3105">
        <w:rPr>
          <w:rFonts w:ascii="Arial" w:hAnsi="Arial"/>
          <w:sz w:val="24"/>
          <w:lang w:val="en-US"/>
        </w:rPr>
        <w:t>odebook-based</w:t>
      </w:r>
      <w:r w:rsidR="0046776E">
        <w:rPr>
          <w:rFonts w:ascii="Arial" w:hAnsi="Arial"/>
          <w:sz w:val="24"/>
          <w:lang w:val="en-US"/>
        </w:rPr>
        <w:t xml:space="preserve"> UL</w:t>
      </w:r>
      <w:r w:rsidR="006F7234" w:rsidRPr="008E3105">
        <w:rPr>
          <w:rFonts w:ascii="Arial" w:hAnsi="Arial"/>
          <w:sz w:val="24"/>
          <w:lang w:val="en-US"/>
        </w:rPr>
        <w:t xml:space="preserve">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3" w:name="DocumentFor"/>
      <w:bookmarkEnd w:id="3"/>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1440C5AC" w14:textId="63E844EF"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0028533F">
        <w:rPr>
          <w:lang w:val="en-US"/>
        </w:rPr>
        <w:t xml:space="preserve"> [1</w:t>
      </w:r>
      <w:r w:rsidR="00712D0F">
        <w:rPr>
          <w:lang w:val="en-US"/>
        </w:rPr>
        <w:t>]</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855"/>
      </w:tblGrid>
      <w:tr w:rsidR="0048629D" w:rsidRPr="008E3105" w14:paraId="46B52B6A" w14:textId="77777777" w:rsidTr="00B07270">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B31254">
            <w:pPr>
              <w:numPr>
                <w:ilvl w:val="0"/>
                <w:numId w:val="15"/>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B31254">
            <w:pPr>
              <w:numPr>
                <w:ilvl w:val="1"/>
                <w:numId w:val="15"/>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selected SRS resource by the SRI.</w:t>
            </w:r>
          </w:p>
          <w:p w14:paraId="53C83BDB"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B31254">
            <w:pPr>
              <w:numPr>
                <w:ilvl w:val="3"/>
                <w:numId w:val="15"/>
              </w:numPr>
              <w:spacing w:after="0"/>
              <w:rPr>
                <w:rFonts w:eastAsia="MS Mincho"/>
                <w:iCs/>
                <w:lang w:val="en-US" w:eastAsia="ja-JP"/>
              </w:rPr>
            </w:pPr>
            <w:r w:rsidRPr="00E24202">
              <w:rPr>
                <w:rFonts w:eastAsia="MS Mincho"/>
                <w:iCs/>
                <w:lang w:val="en-US" w:eastAsia="ja-JP"/>
              </w:rPr>
              <w:t>The TPMI is used to indicate preferred precoder over the SRS ports in the configured single SRS resource.</w:t>
            </w:r>
          </w:p>
          <w:p w14:paraId="65363191" w14:textId="77777777" w:rsidR="00FB2D76" w:rsidRPr="00FB2D76" w:rsidRDefault="00FB2D76" w:rsidP="00B31254">
            <w:pPr>
              <w:numPr>
                <w:ilvl w:val="1"/>
                <w:numId w:val="15"/>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B31254">
            <w:pPr>
              <w:numPr>
                <w:ilvl w:val="2"/>
                <w:numId w:val="15"/>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B31254">
            <w:pPr>
              <w:numPr>
                <w:ilvl w:val="0"/>
                <w:numId w:val="16"/>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subband TPMI signaling is supported, support one of the following alternatives: </w:t>
            </w:r>
          </w:p>
          <w:p w14:paraId="74BD4C07"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B31254">
            <w:pPr>
              <w:numPr>
                <w:ilvl w:val="1"/>
                <w:numId w:val="16"/>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B31254">
            <w:pPr>
              <w:numPr>
                <w:ilvl w:val="1"/>
                <w:numId w:val="16"/>
              </w:numPr>
              <w:spacing w:after="0"/>
              <w:rPr>
                <w:rFonts w:eastAsia="MS Mincho"/>
                <w:iCs/>
                <w:highlight w:val="yellow"/>
                <w:lang w:val="en-US" w:eastAsia="ja-JP"/>
              </w:rPr>
            </w:pPr>
            <w:r w:rsidRPr="00FB2D76">
              <w:rPr>
                <w:rFonts w:eastAsia="MS Mincho"/>
                <w:iCs/>
                <w:highlight w:val="yellow"/>
                <w:lang w:val="en-US" w:eastAsia="ja-JP"/>
              </w:rPr>
              <w:t>Note: Subband TPMI may correspond to W2 if dual-stage codebook is supported</w:t>
            </w:r>
          </w:p>
          <w:p w14:paraId="62112494" w14:textId="29D098FC" w:rsidR="0048629D" w:rsidRPr="00FB2D76" w:rsidRDefault="00FB2D76" w:rsidP="00B31254">
            <w:pPr>
              <w:numPr>
                <w:ilvl w:val="1"/>
                <w:numId w:val="16"/>
              </w:numPr>
              <w:spacing w:after="0"/>
              <w:rPr>
                <w:rFonts w:eastAsia="MS Mincho"/>
                <w:iCs/>
                <w:lang w:val="en-US" w:eastAsia="ja-JP"/>
              </w:rPr>
            </w:pPr>
            <w:r w:rsidRPr="0074580D">
              <w:rPr>
                <w:rFonts w:eastAsia="MS Mincho"/>
                <w:iCs/>
                <w:lang w:val="en-US" w:eastAsia="ja-JP"/>
              </w:rPr>
              <w:t>FFS whether or not wideband TPMI is always signaled along with subband TPMI</w:t>
            </w:r>
          </w:p>
        </w:tc>
      </w:tr>
    </w:tbl>
    <w:p w14:paraId="60861E2E" w14:textId="5D9603D8" w:rsidR="005D6078" w:rsidRDefault="00D05EDB" w:rsidP="00D05EDB">
      <w:pPr>
        <w:pStyle w:val="maintext"/>
        <w:tabs>
          <w:tab w:val="left" w:pos="2378"/>
        </w:tabs>
        <w:ind w:firstLineChars="0" w:firstLine="0"/>
        <w:rPr>
          <w:lang w:val="en-US"/>
        </w:rPr>
      </w:pPr>
      <w:r>
        <w:rPr>
          <w:lang w:val="en-US"/>
        </w:rPr>
        <w:tab/>
      </w:r>
    </w:p>
    <w:p w14:paraId="59320AAB" w14:textId="61DCF529" w:rsidR="000105D0" w:rsidRPr="008E3105" w:rsidRDefault="000105D0" w:rsidP="000105D0">
      <w:pPr>
        <w:pStyle w:val="maintext"/>
        <w:ind w:firstLine="400"/>
        <w:rPr>
          <w:lang w:val="en-US"/>
        </w:rPr>
      </w:pPr>
      <w:r w:rsidRPr="00754C34">
        <w:rPr>
          <w:lang w:val="en-US"/>
        </w:rPr>
        <w:t>In RAN</w:t>
      </w:r>
      <w:r>
        <w:rPr>
          <w:lang w:val="en-US"/>
        </w:rPr>
        <w:t>1</w:t>
      </w:r>
      <w:r w:rsidRPr="00754C34">
        <w:rPr>
          <w:lang w:val="en-US"/>
        </w:rPr>
        <w:t xml:space="preserve"> #</w:t>
      </w:r>
      <w:r>
        <w:rPr>
          <w:lang w:val="en-US"/>
        </w:rPr>
        <w:t>89</w:t>
      </w:r>
      <w:r w:rsidR="0028533F">
        <w:rPr>
          <w:lang w:val="en-US"/>
        </w:rPr>
        <w:t xml:space="preserve"> [2</w:t>
      </w:r>
      <w:r w:rsidR="00712D0F">
        <w:rPr>
          <w:lang w:val="en-US"/>
        </w:rPr>
        <w:t>]</w:t>
      </w:r>
      <w:r w:rsidRPr="00754C34">
        <w:rPr>
          <w:lang w:val="en-US"/>
        </w:rPr>
        <w:t xml:space="preserve">, </w:t>
      </w:r>
      <w:r>
        <w:rPr>
          <w:lang w:val="en-US"/>
        </w:rPr>
        <w:t>the following agreements about UL transmission were made</w:t>
      </w:r>
      <w:r w:rsidRPr="00754C34">
        <w:rPr>
          <w:lang w:val="en-US"/>
        </w:rPr>
        <w:t>.</w:t>
      </w:r>
    </w:p>
    <w:tbl>
      <w:tblPr>
        <w:tblStyle w:val="TableGrid"/>
        <w:tblW w:w="0" w:type="auto"/>
        <w:tblLook w:val="04A0" w:firstRow="1" w:lastRow="0" w:firstColumn="1" w:lastColumn="0" w:noHBand="0" w:noVBand="1"/>
      </w:tblPr>
      <w:tblGrid>
        <w:gridCol w:w="9855"/>
      </w:tblGrid>
      <w:tr w:rsidR="000105D0" w:rsidRPr="008E3105" w14:paraId="2D461C3A" w14:textId="77777777" w:rsidTr="00B07270">
        <w:tc>
          <w:tcPr>
            <w:tcW w:w="9855" w:type="dxa"/>
          </w:tcPr>
          <w:p w14:paraId="49A4A2FE" w14:textId="77777777" w:rsidR="000105D0" w:rsidRPr="008F3138" w:rsidRDefault="000105D0" w:rsidP="000105D0">
            <w:r w:rsidRPr="008F3138">
              <w:rPr>
                <w:highlight w:val="green"/>
              </w:rPr>
              <w:t>Agreements</w:t>
            </w:r>
            <w:r w:rsidRPr="008F3138">
              <w:t>:</w:t>
            </w:r>
          </w:p>
          <w:p w14:paraId="4C0DBA12" w14:textId="77777777" w:rsidR="000105D0" w:rsidRPr="008F3138" w:rsidRDefault="000105D0" w:rsidP="00B31254">
            <w:pPr>
              <w:numPr>
                <w:ilvl w:val="0"/>
                <w:numId w:val="16"/>
              </w:numPr>
              <w:spacing w:after="0"/>
              <w:rPr>
                <w:lang w:val="en-US"/>
              </w:rPr>
            </w:pPr>
            <w:r w:rsidRPr="008F3138">
              <w:rPr>
                <w:lang w:val="en-US"/>
              </w:rPr>
              <w:t xml:space="preserve">One of the following </w:t>
            </w:r>
            <w:r w:rsidRPr="000105D0">
              <w:rPr>
                <w:highlight w:val="yellow"/>
                <w:lang w:val="en-US"/>
              </w:rPr>
              <w:t>UL codebook design</w:t>
            </w:r>
            <w:r w:rsidRPr="008F3138">
              <w:rPr>
                <w:lang w:val="en-US"/>
              </w:rPr>
              <w:t xml:space="preserve"> principles is down-selected until next meeting.</w:t>
            </w:r>
          </w:p>
          <w:p w14:paraId="45A82F89" w14:textId="77777777" w:rsidR="000105D0" w:rsidRPr="008F3138" w:rsidRDefault="000105D0" w:rsidP="00B31254">
            <w:pPr>
              <w:numPr>
                <w:ilvl w:val="1"/>
                <w:numId w:val="16"/>
              </w:numPr>
              <w:spacing w:after="0"/>
              <w:rPr>
                <w:lang w:val="en-US"/>
              </w:rPr>
            </w:pPr>
            <w:r w:rsidRPr="008F3138">
              <w:rPr>
                <w:lang w:val="en-US"/>
              </w:rPr>
              <w:t>Alt1:</w:t>
            </w:r>
          </w:p>
          <w:p w14:paraId="6034834B" w14:textId="77777777" w:rsidR="000105D0" w:rsidRPr="008F3138" w:rsidRDefault="000105D0" w:rsidP="00B31254">
            <w:pPr>
              <w:numPr>
                <w:ilvl w:val="2"/>
                <w:numId w:val="16"/>
              </w:numPr>
              <w:spacing w:after="0"/>
              <w:rPr>
                <w:lang w:val="en-US"/>
              </w:rPr>
            </w:pPr>
            <w:r w:rsidRPr="008F3138">
              <w:rPr>
                <w:lang w:val="en-US"/>
              </w:rPr>
              <w:t xml:space="preserve">NR supports UL codebook at least for a single panel. </w:t>
            </w:r>
          </w:p>
          <w:p w14:paraId="599DBCFF" w14:textId="77777777" w:rsidR="000105D0" w:rsidRPr="008F3138" w:rsidRDefault="000105D0" w:rsidP="00B31254">
            <w:pPr>
              <w:numPr>
                <w:ilvl w:val="3"/>
                <w:numId w:val="16"/>
              </w:numPr>
              <w:spacing w:after="0"/>
              <w:rPr>
                <w:lang w:val="en-US"/>
              </w:rPr>
            </w:pPr>
            <w:r w:rsidRPr="008F3138">
              <w:rPr>
                <w:lang w:val="en-US"/>
              </w:rPr>
              <w:t>Note: This does not preclude the use of components of single panel UL codebook for multi-panel.</w:t>
            </w:r>
          </w:p>
          <w:p w14:paraId="136859EE" w14:textId="77777777" w:rsidR="000105D0" w:rsidRPr="008F3138" w:rsidRDefault="000105D0" w:rsidP="00B31254">
            <w:pPr>
              <w:numPr>
                <w:ilvl w:val="2"/>
                <w:numId w:val="16"/>
              </w:numPr>
              <w:spacing w:after="0"/>
              <w:rPr>
                <w:lang w:val="en-US"/>
              </w:rPr>
            </w:pPr>
            <w:r w:rsidRPr="008F3138">
              <w:rPr>
                <w:lang w:val="en-US"/>
              </w:rPr>
              <w:t>FFS on multi-panel UL codebook</w:t>
            </w:r>
          </w:p>
          <w:p w14:paraId="3FE1B317" w14:textId="74D15054" w:rsidR="000105D0" w:rsidRPr="008F3138" w:rsidRDefault="00951465" w:rsidP="00B31254">
            <w:pPr>
              <w:numPr>
                <w:ilvl w:val="3"/>
                <w:numId w:val="16"/>
              </w:numPr>
              <w:spacing w:after="0"/>
              <w:rPr>
                <w:lang w:val="en-US"/>
              </w:rPr>
            </w:pPr>
            <w:r>
              <w:rPr>
                <w:lang w:val="en-US"/>
              </w:rPr>
              <w:t>..</w:t>
            </w:r>
            <w:r w:rsidR="000105D0" w:rsidRPr="008F3138">
              <w:rPr>
                <w:lang w:val="en-US"/>
              </w:rPr>
              <w:t>.</w:t>
            </w:r>
          </w:p>
          <w:p w14:paraId="50A049C1" w14:textId="77777777" w:rsidR="000105D0" w:rsidRPr="008F3138" w:rsidRDefault="000105D0" w:rsidP="00B31254">
            <w:pPr>
              <w:numPr>
                <w:ilvl w:val="1"/>
                <w:numId w:val="16"/>
              </w:numPr>
              <w:spacing w:after="0"/>
              <w:rPr>
                <w:lang w:val="en-US"/>
              </w:rPr>
            </w:pPr>
            <w:r w:rsidRPr="008F3138">
              <w:rPr>
                <w:lang w:val="en-US"/>
              </w:rPr>
              <w:t xml:space="preserve">Alt 2: </w:t>
            </w:r>
          </w:p>
          <w:p w14:paraId="303A4722" w14:textId="77777777" w:rsidR="000105D0" w:rsidRPr="008F3138" w:rsidRDefault="000105D0" w:rsidP="00B31254">
            <w:pPr>
              <w:numPr>
                <w:ilvl w:val="2"/>
                <w:numId w:val="16"/>
              </w:numPr>
              <w:spacing w:after="0"/>
              <w:rPr>
                <w:lang w:val="en-US"/>
              </w:rPr>
            </w:pPr>
            <w:r w:rsidRPr="008F3138">
              <w:rPr>
                <w:lang w:val="en-US"/>
              </w:rPr>
              <w:t>Focus on designing a common framework UL codebook for single-panel and multi-panel</w:t>
            </w:r>
          </w:p>
          <w:p w14:paraId="46C7AAE8" w14:textId="77777777" w:rsidR="000105D0" w:rsidRPr="008F3138" w:rsidRDefault="000105D0" w:rsidP="00B31254">
            <w:pPr>
              <w:numPr>
                <w:ilvl w:val="1"/>
                <w:numId w:val="16"/>
              </w:numPr>
              <w:spacing w:after="0"/>
              <w:rPr>
                <w:lang w:val="en-US"/>
              </w:rPr>
            </w:pPr>
            <w:r w:rsidRPr="008F3138">
              <w:rPr>
                <w:lang w:val="en-US"/>
              </w:rPr>
              <w:t xml:space="preserve">Alt 3: </w:t>
            </w:r>
          </w:p>
          <w:p w14:paraId="74F47206" w14:textId="77777777" w:rsidR="000105D0" w:rsidRPr="008F3138" w:rsidRDefault="000105D0" w:rsidP="00B31254">
            <w:pPr>
              <w:numPr>
                <w:ilvl w:val="2"/>
                <w:numId w:val="16"/>
              </w:numPr>
              <w:spacing w:after="0"/>
              <w:rPr>
                <w:lang w:val="en-US"/>
              </w:rPr>
            </w:pPr>
            <w:r w:rsidRPr="008F3138">
              <w:rPr>
                <w:lang w:val="en-US"/>
              </w:rPr>
              <w:t>Design different UL codebooks for single-panel and multi-panel, respectively.</w:t>
            </w:r>
          </w:p>
          <w:p w14:paraId="5A88C428" w14:textId="1FC63487" w:rsidR="000105D0" w:rsidRPr="008F3138" w:rsidRDefault="00951465" w:rsidP="00B31254">
            <w:pPr>
              <w:numPr>
                <w:ilvl w:val="0"/>
                <w:numId w:val="16"/>
              </w:numPr>
              <w:spacing w:after="0"/>
              <w:rPr>
                <w:lang w:val="en-US"/>
              </w:rPr>
            </w:pPr>
            <w:r>
              <w:rPr>
                <w:lang w:val="en-US"/>
              </w:rPr>
              <w:t>..</w:t>
            </w:r>
            <w:r w:rsidR="000105D0" w:rsidRPr="008F3138">
              <w:rPr>
                <w:lang w:val="en-US"/>
              </w:rPr>
              <w:t>.</w:t>
            </w:r>
          </w:p>
          <w:p w14:paraId="7613C90F" w14:textId="77777777" w:rsidR="000105D0" w:rsidRDefault="000105D0" w:rsidP="000105D0">
            <w:pPr>
              <w:spacing w:after="0"/>
              <w:rPr>
                <w:rFonts w:eastAsia="MS Mincho"/>
                <w:iCs/>
                <w:lang w:val="en-US" w:eastAsia="ja-JP"/>
              </w:rPr>
            </w:pPr>
          </w:p>
          <w:p w14:paraId="70153B22" w14:textId="77777777" w:rsidR="000105D0" w:rsidRPr="00526CA1" w:rsidRDefault="000105D0" w:rsidP="000105D0">
            <w:pPr>
              <w:rPr>
                <w:rFonts w:eastAsia="MS Mincho"/>
                <w:iCs/>
                <w:lang w:val="en-US" w:eastAsia="ja-JP"/>
              </w:rPr>
            </w:pPr>
            <w:r w:rsidRPr="00526CA1">
              <w:rPr>
                <w:rFonts w:eastAsia="MS Mincho"/>
                <w:iCs/>
                <w:highlight w:val="green"/>
                <w:lang w:eastAsia="ja-JP"/>
              </w:rPr>
              <w:t>Agreements</w:t>
            </w:r>
            <w:r w:rsidRPr="00526CA1">
              <w:rPr>
                <w:rFonts w:eastAsia="MS Mincho"/>
                <w:iCs/>
                <w:lang w:eastAsia="ja-JP"/>
              </w:rPr>
              <w:t>:</w:t>
            </w:r>
          </w:p>
          <w:p w14:paraId="798A7CC3"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When the number of transmission ports is less than or equal to 2, frequency selective precoding is not supported for both schemes A and B</w:t>
            </w:r>
          </w:p>
          <w:p w14:paraId="50E136F4" w14:textId="77777777" w:rsidR="000105D0" w:rsidRPr="00526CA1" w:rsidRDefault="000105D0" w:rsidP="00B31254">
            <w:pPr>
              <w:numPr>
                <w:ilvl w:val="0"/>
                <w:numId w:val="17"/>
              </w:numPr>
              <w:spacing w:after="0"/>
              <w:rPr>
                <w:rFonts w:eastAsia="MS Mincho"/>
                <w:iCs/>
                <w:lang w:val="en-US" w:eastAsia="ja-JP"/>
              </w:rPr>
            </w:pPr>
            <w:r w:rsidRPr="00526CA1">
              <w:rPr>
                <w:rFonts w:eastAsia="MS Mincho"/>
                <w:iCs/>
                <w:lang w:eastAsia="ja-JP"/>
              </w:rPr>
              <w:t xml:space="preserve">When the number of transmission ports is &gt;2, </w:t>
            </w:r>
            <w:r w:rsidRPr="000105D0">
              <w:rPr>
                <w:rFonts w:eastAsia="MS Mincho"/>
                <w:iCs/>
                <w:highlight w:val="yellow"/>
                <w:lang w:eastAsia="ja-JP"/>
              </w:rPr>
              <w:t xml:space="preserve">frequency selective precoding for CP-OFDM can be configured by </w:t>
            </w:r>
            <w:proofErr w:type="spellStart"/>
            <w:r w:rsidRPr="000105D0">
              <w:rPr>
                <w:rFonts w:eastAsia="MS Mincho"/>
                <w:iCs/>
                <w:highlight w:val="yellow"/>
                <w:lang w:eastAsia="ja-JP"/>
              </w:rPr>
              <w:t>gNB</w:t>
            </w:r>
            <w:proofErr w:type="spellEnd"/>
            <w:r w:rsidRPr="000105D0">
              <w:rPr>
                <w:rFonts w:eastAsia="MS Mincho"/>
                <w:iCs/>
                <w:highlight w:val="yellow"/>
                <w:lang w:eastAsia="ja-JP"/>
              </w:rPr>
              <w:t xml:space="preserve"> for both schemes A and B</w:t>
            </w:r>
          </w:p>
          <w:p w14:paraId="6B06210E" w14:textId="77777777" w:rsidR="000105D0" w:rsidRPr="00526CA1" w:rsidRDefault="000105D0" w:rsidP="00B31254">
            <w:pPr>
              <w:numPr>
                <w:ilvl w:val="1"/>
                <w:numId w:val="17"/>
              </w:numPr>
              <w:spacing w:after="0"/>
              <w:rPr>
                <w:rFonts w:eastAsia="MS Mincho"/>
                <w:iCs/>
                <w:lang w:val="en-US" w:eastAsia="ja-JP"/>
              </w:rPr>
            </w:pPr>
            <w:r w:rsidRPr="00526CA1">
              <w:rPr>
                <w:rFonts w:eastAsia="MS Mincho"/>
                <w:iCs/>
                <w:lang w:eastAsia="ja-JP"/>
              </w:rPr>
              <w:t xml:space="preserve">FFS how to support/indicate frequency selective precoding (including potentially spec-transparent </w:t>
            </w:r>
            <w:r w:rsidRPr="00526CA1">
              <w:rPr>
                <w:rFonts w:eastAsia="MS Mincho"/>
                <w:iCs/>
                <w:lang w:eastAsia="ja-JP"/>
              </w:rPr>
              <w:lastRenderedPageBreak/>
              <w:t>support)</w:t>
            </w:r>
          </w:p>
          <w:p w14:paraId="52915A68" w14:textId="2B6EE917" w:rsidR="000105D0" w:rsidRPr="000105D0" w:rsidRDefault="000105D0" w:rsidP="00B31254">
            <w:pPr>
              <w:numPr>
                <w:ilvl w:val="1"/>
                <w:numId w:val="17"/>
              </w:numPr>
              <w:spacing w:after="0"/>
              <w:rPr>
                <w:rFonts w:eastAsia="MS Mincho"/>
                <w:iCs/>
                <w:lang w:val="en-US" w:eastAsia="ja-JP"/>
              </w:rPr>
            </w:pPr>
            <w:r w:rsidRPr="00526CA1">
              <w:rPr>
                <w:rFonts w:eastAsia="MS Mincho"/>
                <w:iCs/>
                <w:lang w:eastAsia="ja-JP"/>
              </w:rPr>
              <w:t>Note: frequency-selective TPMI is to be discussed separately</w:t>
            </w:r>
          </w:p>
        </w:tc>
      </w:tr>
    </w:tbl>
    <w:p w14:paraId="59E59FD8" w14:textId="77777777" w:rsidR="000105D0" w:rsidRDefault="000105D0" w:rsidP="0016262C">
      <w:pPr>
        <w:pStyle w:val="maintext"/>
        <w:ind w:firstLineChars="0" w:firstLine="0"/>
        <w:rPr>
          <w:lang w:val="en-US"/>
        </w:rPr>
      </w:pPr>
    </w:p>
    <w:p w14:paraId="38369B16" w14:textId="0A78E36A" w:rsidR="00D05EDB" w:rsidRDefault="00D05EDB" w:rsidP="00D05EDB">
      <w:pPr>
        <w:pStyle w:val="maintext"/>
        <w:ind w:firstLine="400"/>
        <w:rPr>
          <w:lang w:val="en-US"/>
        </w:rPr>
      </w:pPr>
      <w:r>
        <w:rPr>
          <w:rFonts w:hint="eastAsia"/>
          <w:lang w:val="en-US"/>
        </w:rPr>
        <w:t>In RAN1#</w:t>
      </w:r>
      <w:r>
        <w:rPr>
          <w:lang w:val="en-US"/>
        </w:rPr>
        <w:t>90 [</w:t>
      </w:r>
      <w:r w:rsidR="0028533F">
        <w:rPr>
          <w:lang w:val="en-US"/>
        </w:rPr>
        <w:t>3</w:t>
      </w:r>
      <w:r>
        <w:rPr>
          <w:lang w:val="en-US"/>
        </w:rPr>
        <w:t>]</w:t>
      </w:r>
      <w:r>
        <w:rPr>
          <w:rFonts w:hint="eastAsia"/>
          <w:lang w:val="en-US"/>
        </w:rPr>
        <w:t>, the following agreements on UL MIMO were made.</w:t>
      </w:r>
    </w:p>
    <w:tbl>
      <w:tblPr>
        <w:tblStyle w:val="TableGrid"/>
        <w:tblW w:w="0" w:type="auto"/>
        <w:tblLook w:val="04A0" w:firstRow="1" w:lastRow="0" w:firstColumn="1" w:lastColumn="0" w:noHBand="0" w:noVBand="1"/>
      </w:tblPr>
      <w:tblGrid>
        <w:gridCol w:w="9855"/>
      </w:tblGrid>
      <w:tr w:rsidR="00D05EDB" w:rsidRPr="008E3105" w14:paraId="2DBB1C6E" w14:textId="77777777" w:rsidTr="006A6C85">
        <w:tc>
          <w:tcPr>
            <w:tcW w:w="9855" w:type="dxa"/>
          </w:tcPr>
          <w:p w14:paraId="7376B8EC" w14:textId="77777777" w:rsidR="00D05EDB" w:rsidRPr="009C3C8D" w:rsidRDefault="00D05EDB" w:rsidP="00D05EDB">
            <w:pPr>
              <w:rPr>
                <w:rFonts w:eastAsia="MS Mincho"/>
                <w:lang w:eastAsia="ja-JP"/>
              </w:rPr>
            </w:pPr>
            <w:r w:rsidRPr="009C3C8D">
              <w:rPr>
                <w:rFonts w:eastAsia="MS Mincho"/>
                <w:highlight w:val="green"/>
                <w:lang w:eastAsia="ja-JP"/>
              </w:rPr>
              <w:t>Agreements</w:t>
            </w:r>
            <w:r w:rsidRPr="009C3C8D">
              <w:rPr>
                <w:rFonts w:eastAsia="MS Mincho"/>
                <w:lang w:eastAsia="ja-JP"/>
              </w:rPr>
              <w:t>:</w:t>
            </w:r>
          </w:p>
          <w:p w14:paraId="2CA11CC3" w14:textId="77777777" w:rsidR="00D05EDB" w:rsidRPr="009C3C8D" w:rsidRDefault="00D05EDB" w:rsidP="00D05EDB">
            <w:pPr>
              <w:numPr>
                <w:ilvl w:val="0"/>
                <w:numId w:val="16"/>
              </w:numPr>
              <w:spacing w:after="0"/>
            </w:pPr>
            <w:r w:rsidRPr="009C3C8D">
              <w:t>For CP-OFDM</w:t>
            </w:r>
          </w:p>
          <w:p w14:paraId="3BD93563" w14:textId="77777777" w:rsidR="00D05EDB" w:rsidRPr="009C3C8D" w:rsidRDefault="00D05EDB" w:rsidP="00D05EDB">
            <w:pPr>
              <w:numPr>
                <w:ilvl w:val="1"/>
                <w:numId w:val="16"/>
              </w:numPr>
              <w:tabs>
                <w:tab w:val="left" w:pos="720"/>
              </w:tabs>
              <w:spacing w:after="0"/>
            </w:pPr>
            <w:r w:rsidRPr="009C3C8D">
              <w:t>At least TPMI indices 0-3 for rank 1 and TPMI indices 0 and 1 for rank 2 are used</w:t>
            </w:r>
          </w:p>
          <w:p w14:paraId="16E1FAEC" w14:textId="77777777" w:rsidR="00D05EDB" w:rsidRPr="009C3C8D" w:rsidRDefault="00D05EDB" w:rsidP="00D05EDB">
            <w:pPr>
              <w:numPr>
                <w:ilvl w:val="1"/>
                <w:numId w:val="16"/>
              </w:numPr>
              <w:tabs>
                <w:tab w:val="left" w:pos="720"/>
              </w:tabs>
              <w:spacing w:after="0"/>
            </w:pPr>
            <w:r w:rsidRPr="009C3C8D">
              <w:t xml:space="preserve">One of the two following </w:t>
            </w:r>
            <w:r w:rsidRPr="0028533F">
              <w:rPr>
                <w:highlight w:val="yellow"/>
              </w:rPr>
              <w:t>Antenna port selection</w:t>
            </w:r>
            <w:r w:rsidRPr="009C3C8D">
              <w:t xml:space="preserve"> mechanisms is supported; </w:t>
            </w:r>
          </w:p>
          <w:p w14:paraId="7663EF0C" w14:textId="77777777" w:rsidR="00D05EDB" w:rsidRPr="009C3C8D" w:rsidRDefault="00D05EDB" w:rsidP="00D05EDB">
            <w:pPr>
              <w:numPr>
                <w:ilvl w:val="2"/>
                <w:numId w:val="16"/>
              </w:numPr>
              <w:tabs>
                <w:tab w:val="left" w:pos="720"/>
              </w:tabs>
              <w:spacing w:after="0"/>
            </w:pPr>
            <w:r w:rsidRPr="009C3C8D">
              <w:t>Decide among the two alternatives in RAN1# 90bis</w:t>
            </w:r>
          </w:p>
          <w:p w14:paraId="72D68BDA" w14:textId="77777777" w:rsidR="00D05EDB" w:rsidRPr="009C3C8D" w:rsidRDefault="00D05EDB" w:rsidP="00D05EDB">
            <w:pPr>
              <w:numPr>
                <w:ilvl w:val="2"/>
                <w:numId w:val="16"/>
              </w:numPr>
              <w:tabs>
                <w:tab w:val="left" w:pos="720"/>
              </w:tabs>
              <w:spacing w:after="0"/>
            </w:pPr>
            <w:r w:rsidRPr="009C3C8D">
              <w:t>Alt 1: TPMI indices 4 and 5 for rank 1, and 2 for rank 2, from the above table are used for CP-OFDM</w:t>
            </w:r>
          </w:p>
          <w:p w14:paraId="2BC02B00" w14:textId="77777777" w:rsidR="00D05EDB" w:rsidRPr="009C3C8D" w:rsidRDefault="00D05EDB" w:rsidP="00D05EDB">
            <w:pPr>
              <w:numPr>
                <w:ilvl w:val="2"/>
                <w:numId w:val="16"/>
              </w:numPr>
              <w:tabs>
                <w:tab w:val="left" w:pos="720"/>
              </w:tabs>
              <w:spacing w:after="0"/>
            </w:pPr>
            <w:r w:rsidRPr="009C3C8D">
              <w:t>Alt 2: SRI indicates selected antenna ports</w:t>
            </w:r>
          </w:p>
          <w:p w14:paraId="063E5BC5" w14:textId="77777777" w:rsidR="00D05EDB" w:rsidRPr="00DF2FEA" w:rsidRDefault="00D05EDB" w:rsidP="00D05EDB">
            <w:pPr>
              <w:rPr>
                <w:rFonts w:eastAsia="MS Mincho"/>
                <w:lang w:eastAsia="ja-JP"/>
              </w:rPr>
            </w:pPr>
            <w:r w:rsidRPr="00DF2FEA">
              <w:rPr>
                <w:rFonts w:eastAsia="MS Mincho"/>
                <w:highlight w:val="green"/>
                <w:lang w:eastAsia="ja-JP"/>
              </w:rPr>
              <w:t>Agreements</w:t>
            </w:r>
            <w:r w:rsidRPr="00DF2FEA">
              <w:rPr>
                <w:rFonts w:eastAsia="MS Mincho"/>
                <w:lang w:eastAsia="ja-JP"/>
              </w:rPr>
              <w:t>:</w:t>
            </w:r>
          </w:p>
          <w:p w14:paraId="215353F5" w14:textId="77777777" w:rsidR="00D05EDB" w:rsidRPr="00DF2FEA" w:rsidRDefault="00D05EDB" w:rsidP="00D05EDB">
            <w:pPr>
              <w:numPr>
                <w:ilvl w:val="0"/>
                <w:numId w:val="16"/>
              </w:numPr>
              <w:tabs>
                <w:tab w:val="left" w:pos="1440"/>
              </w:tabs>
              <w:spacing w:after="0"/>
              <w:rPr>
                <w:lang w:eastAsia="x-none"/>
              </w:rPr>
            </w:pPr>
            <w:r w:rsidRPr="00DF2FEA">
              <w:rPr>
                <w:lang w:eastAsia="x-none"/>
              </w:rPr>
              <w:t xml:space="preserve">For 2 </w:t>
            </w:r>
            <w:proofErr w:type="spellStart"/>
            <w:r w:rsidRPr="00DF2FEA">
              <w:rPr>
                <w:lang w:eastAsia="x-none"/>
              </w:rPr>
              <w:t>Tx</w:t>
            </w:r>
            <w:proofErr w:type="spellEnd"/>
            <w:r w:rsidRPr="00DF2FEA">
              <w:rPr>
                <w:lang w:eastAsia="x-none"/>
              </w:rPr>
              <w:t>, use single stage DCI with a semi-statically configured size to convey TPMI, SRI, TRI in Rel-15</w:t>
            </w:r>
          </w:p>
          <w:p w14:paraId="14C8AB1C" w14:textId="77777777" w:rsidR="00D05EDB" w:rsidRPr="00877655" w:rsidRDefault="00D05EDB" w:rsidP="00D05EDB">
            <w:pPr>
              <w:numPr>
                <w:ilvl w:val="0"/>
                <w:numId w:val="16"/>
              </w:numPr>
              <w:tabs>
                <w:tab w:val="left" w:pos="1440"/>
              </w:tabs>
              <w:spacing w:after="0"/>
              <w:rPr>
                <w:lang w:eastAsia="x-none"/>
              </w:rPr>
            </w:pPr>
            <w:r w:rsidRPr="00877655">
              <w:rPr>
                <w:lang w:eastAsia="x-none"/>
              </w:rPr>
              <w:t>Total combined DCI size of TPMI, TRI, and SRI does not vary with PUSCH resource allocation for single stage DCI</w:t>
            </w:r>
          </w:p>
          <w:p w14:paraId="71590120" w14:textId="77777777" w:rsidR="00D05EDB" w:rsidRPr="00877655" w:rsidRDefault="00D05EDB" w:rsidP="00D05EDB">
            <w:pPr>
              <w:numPr>
                <w:ilvl w:val="0"/>
                <w:numId w:val="16"/>
              </w:numPr>
              <w:spacing w:after="0"/>
              <w:rPr>
                <w:lang w:eastAsia="x-none"/>
              </w:rPr>
            </w:pPr>
            <w:r w:rsidRPr="00877655">
              <w:rPr>
                <w:lang w:eastAsia="x-none"/>
              </w:rPr>
              <w:t>Specify UE capability identifying if UL MIMO capable UE can support coherent transmission across its transmit chains</w:t>
            </w:r>
          </w:p>
          <w:p w14:paraId="7E8D0C0D" w14:textId="77777777" w:rsidR="00D05EDB" w:rsidRPr="00877655" w:rsidRDefault="00D05EDB" w:rsidP="00D05EDB">
            <w:pPr>
              <w:numPr>
                <w:ilvl w:val="1"/>
                <w:numId w:val="16"/>
              </w:numPr>
              <w:tabs>
                <w:tab w:val="left" w:pos="720"/>
              </w:tabs>
              <w:spacing w:after="0"/>
              <w:rPr>
                <w:lang w:eastAsia="x-none"/>
              </w:rPr>
            </w:pPr>
            <w:r w:rsidRPr="00877655">
              <w:rPr>
                <w:lang w:eastAsia="x-none"/>
              </w:rPr>
              <w:t>FFS: if UE capability identifies if coherent transmission is supported on all of, vs. none of, vs. on a subset, of its transmit chains</w:t>
            </w:r>
          </w:p>
          <w:p w14:paraId="1AFB1757" w14:textId="55159362" w:rsidR="00D05EDB" w:rsidRPr="00D05EDB" w:rsidRDefault="00D05EDB" w:rsidP="00D05EDB">
            <w:pPr>
              <w:numPr>
                <w:ilvl w:val="1"/>
                <w:numId w:val="16"/>
              </w:numPr>
              <w:tabs>
                <w:tab w:val="left" w:pos="720"/>
              </w:tabs>
              <w:spacing w:after="0"/>
              <w:rPr>
                <w:lang w:eastAsia="x-none"/>
              </w:rPr>
            </w:pPr>
            <w:r w:rsidRPr="00877655">
              <w:rPr>
                <w:lang w:eastAsia="x-none"/>
              </w:rPr>
              <w:t>FFS: how UL MIMO precoding design takes into account the above capability</w:t>
            </w:r>
          </w:p>
        </w:tc>
      </w:tr>
    </w:tbl>
    <w:p w14:paraId="616064C9" w14:textId="77777777" w:rsidR="00D05EDB" w:rsidRPr="008E3105" w:rsidRDefault="00D05EDB"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4"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B31254">
      <w:pPr>
        <w:pStyle w:val="maintext"/>
        <w:numPr>
          <w:ilvl w:val="0"/>
          <w:numId w:val="7"/>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B31254">
      <w:pPr>
        <w:pStyle w:val="maintext"/>
        <w:numPr>
          <w:ilvl w:val="0"/>
          <w:numId w:val="7"/>
        </w:numPr>
        <w:ind w:firstLineChars="0"/>
        <w:rPr>
          <w:lang w:val="en-US"/>
        </w:rPr>
      </w:pPr>
      <w:r w:rsidRPr="008E3105">
        <w:rPr>
          <w:lang w:val="en-US"/>
        </w:rPr>
        <w:t>Support for frequency selective precoding</w:t>
      </w:r>
    </w:p>
    <w:p w14:paraId="24EB5A0B" w14:textId="207EA9A3" w:rsidR="00741B03" w:rsidRDefault="0009129D" w:rsidP="00B31254">
      <w:pPr>
        <w:pStyle w:val="maintext"/>
        <w:numPr>
          <w:ilvl w:val="0"/>
          <w:numId w:val="7"/>
        </w:numPr>
        <w:ind w:firstLineChars="0"/>
        <w:rPr>
          <w:lang w:val="en-US"/>
        </w:rPr>
      </w:pPr>
      <w:r w:rsidRPr="008E3105">
        <w:rPr>
          <w:lang w:val="en-US"/>
        </w:rPr>
        <w:t xml:space="preserve">UL </w:t>
      </w:r>
      <w:proofErr w:type="spellStart"/>
      <w:r w:rsidRPr="008E3105">
        <w:rPr>
          <w:lang w:val="en-US"/>
        </w:rPr>
        <w:t>f</w:t>
      </w:r>
      <w:r w:rsidR="00741B03" w:rsidRPr="008E3105">
        <w:rPr>
          <w:lang w:val="en-US"/>
        </w:rPr>
        <w:t>all-back</w:t>
      </w:r>
      <w:proofErr w:type="spellEnd"/>
      <w:r w:rsidR="00741B03" w:rsidRPr="008E3105">
        <w:rPr>
          <w:lang w:val="en-US"/>
        </w:rPr>
        <w:t xml:space="preserve"> transmission scheme</w:t>
      </w:r>
    </w:p>
    <w:p w14:paraId="676011BB" w14:textId="6FCD544F" w:rsidR="0028533F" w:rsidRPr="0028533F" w:rsidRDefault="00A805F1" w:rsidP="0028533F">
      <w:pPr>
        <w:pStyle w:val="maintext"/>
        <w:numPr>
          <w:ilvl w:val="0"/>
          <w:numId w:val="7"/>
        </w:numPr>
        <w:ind w:firstLineChars="0"/>
        <w:rPr>
          <w:lang w:val="en-US"/>
        </w:rPr>
      </w:pPr>
      <w:r>
        <w:rPr>
          <w:lang w:val="en-US"/>
        </w:rPr>
        <w:t>UL codebook</w:t>
      </w:r>
      <w:r w:rsidR="0028533F">
        <w:rPr>
          <w:lang w:val="en-US"/>
        </w:rPr>
        <w:t xml:space="preserve"> and antenna port </w:t>
      </w:r>
      <w:r w:rsidR="006A6C85">
        <w:rPr>
          <w:lang w:val="en-US"/>
        </w:rPr>
        <w:t>selection</w:t>
      </w:r>
    </w:p>
    <w:bookmarkEnd w:id="4"/>
    <w:p w14:paraId="4F1941BE" w14:textId="5943F3BD"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p>
    <w:p w14:paraId="567EC525" w14:textId="2B994F2B" w:rsidR="003976FE" w:rsidRPr="00FA1D2B" w:rsidRDefault="0009129D" w:rsidP="00A805F1">
      <w:pPr>
        <w:pStyle w:val="Heading1"/>
        <w:rPr>
          <w:sz w:val="28"/>
          <w:lang w:val="en-US"/>
        </w:rPr>
      </w:pPr>
      <w:r w:rsidRPr="00FA1D2B">
        <w:rPr>
          <w:sz w:val="28"/>
          <w:lang w:val="en-US"/>
        </w:rPr>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11D9E4A8"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precoder taken from a predefined codebook for a given number of layers, and TRI the number of transmission layers (hence enables rank determination by </w:t>
      </w:r>
      <w:proofErr w:type="spellStart"/>
      <w:r w:rsidRPr="008E3105">
        <w:rPr>
          <w:lang w:val="en-US"/>
        </w:rPr>
        <w:t>gNB</w:t>
      </w:r>
      <w:proofErr w:type="spellEnd"/>
      <w:r w:rsidRPr="008E3105">
        <w:rPr>
          <w:lang w:val="en-US"/>
        </w:rPr>
        <w:t xml:space="preserve">).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w:t>
      </w:r>
      <w:proofErr w:type="spellStart"/>
      <w:r w:rsidRPr="008E3105">
        <w:rPr>
          <w:lang w:val="en-US"/>
        </w:rPr>
        <w:t>precoder</w:t>
      </w:r>
      <w:proofErr w:type="spellEnd"/>
      <w:r w:rsidRPr="008E3105">
        <w:rPr>
          <w:lang w:val="en-US"/>
        </w:rPr>
        <w:t xml:space="preserve">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precoder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PMI field which indicates a selection of precoder group can be used – if the precoder group information is to be signaled dynamically. If a dual-stage codebook (e.g. W1*W2) is adopted for larger number of ports, W1 (one PMI per grant) signifies a precoder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B31254">
      <w:pPr>
        <w:pStyle w:val="ListParagraph"/>
        <w:numPr>
          <w:ilvl w:val="0"/>
          <w:numId w:val="9"/>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lastRenderedPageBreak/>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19C0D4E6" w:rsidR="001D59B8" w:rsidRDefault="00272E33" w:rsidP="0009129D">
      <w:pPr>
        <w:spacing w:before="60" w:after="60" w:line="288" w:lineRule="auto"/>
        <w:ind w:firstLine="446"/>
        <w:jc w:val="both"/>
        <w:rPr>
          <w:lang w:val="en-US" w:eastAsia="ko-KR"/>
        </w:rPr>
      </w:pPr>
      <w:r>
        <w:rPr>
          <w:rFonts w:hint="eastAsia"/>
          <w:lang w:val="en-US"/>
        </w:rPr>
        <w:t>In RAN1#89</w:t>
      </w:r>
      <w:r w:rsidR="001D59B8" w:rsidRPr="001D59B8">
        <w:rPr>
          <w:rFonts w:hint="eastAsia"/>
          <w:lang w:val="en-US"/>
        </w:rPr>
        <w:t>, support of frequency selective precoding when tran</w:t>
      </w:r>
      <w:r>
        <w:rPr>
          <w:rFonts w:hint="eastAsia"/>
          <w:lang w:val="en-US"/>
        </w:rPr>
        <w:t xml:space="preserve">smission ports </w:t>
      </w:r>
      <w:r>
        <w:rPr>
          <w:lang w:val="en-US"/>
        </w:rPr>
        <w:t xml:space="preserve">X </w:t>
      </w:r>
      <w:r>
        <w:rPr>
          <w:rFonts w:hint="eastAsia"/>
          <w:lang w:val="en-US"/>
        </w:rPr>
        <w:t>is greater tha</w:t>
      </w:r>
      <w:r>
        <w:rPr>
          <w:lang w:val="en-US"/>
        </w:rPr>
        <w:t>n</w:t>
      </w:r>
      <w:r>
        <w:rPr>
          <w:rFonts w:hint="eastAsia"/>
          <w:lang w:val="en-US"/>
        </w:rPr>
        <w:t xml:space="preserve"> 2</w:t>
      </w:r>
      <w:r w:rsidR="001D59B8" w:rsidRPr="001D59B8">
        <w:rPr>
          <w:rFonts w:hint="eastAsia"/>
          <w:lang w:val="en-US"/>
        </w:rPr>
        <w:t xml:space="preserve"> is agreed.</w:t>
      </w:r>
      <w:r w:rsidR="001D59B8" w:rsidRPr="00643307">
        <w:rPr>
          <w:lang w:val="en-US"/>
        </w:rPr>
        <w:t xml:space="preserve"> </w:t>
      </w:r>
      <w:r w:rsidR="001D59B8">
        <w:rPr>
          <w:rFonts w:hint="eastAsia"/>
          <w:lang w:val="en-US" w:eastAsia="ko-KR"/>
        </w:rPr>
        <w:t xml:space="preserve">Since performance benefit of frequency selective precoding comes from </w:t>
      </w:r>
      <w:r w:rsidR="00951465">
        <w:rPr>
          <w:lang w:val="en-US" w:eastAsia="ko-KR"/>
        </w:rPr>
        <w:t xml:space="preserve">the </w:t>
      </w:r>
      <w:r w:rsidR="001D59B8">
        <w:rPr>
          <w:rFonts w:hint="eastAsia"/>
          <w:lang w:val="en-US" w:eastAsia="ko-KR"/>
        </w:rPr>
        <w:t xml:space="preserve">number of TXRUs, </w:t>
      </w:r>
      <w:r w:rsidR="00951465">
        <w:rPr>
          <w:lang w:val="en-US" w:eastAsia="ko-KR"/>
        </w:rPr>
        <w:t xml:space="preserve">the </w:t>
      </w:r>
      <w:r w:rsidR="001D59B8">
        <w:rPr>
          <w:rFonts w:hint="eastAsia"/>
          <w:lang w:val="en-US" w:eastAsia="ko-KR"/>
        </w:rPr>
        <w:t>number of DMRS port</w:t>
      </w:r>
      <w:r w:rsidR="00951465">
        <w:rPr>
          <w:lang w:val="en-US" w:eastAsia="ko-KR"/>
        </w:rPr>
        <w:t>s</w:t>
      </w:r>
      <w:r w:rsidR="001D59B8">
        <w:rPr>
          <w:rFonts w:hint="eastAsia"/>
          <w:lang w:val="en-US" w:eastAsia="ko-KR"/>
        </w:rPr>
        <w:t xml:space="preserve"> is not an option </w:t>
      </w:r>
      <w:r>
        <w:rPr>
          <w:lang w:val="en-US" w:eastAsia="ko-KR"/>
        </w:rPr>
        <w:t>for X transmission ports</w:t>
      </w:r>
      <w:r w:rsidR="001D59B8">
        <w:rPr>
          <w:rFonts w:hint="eastAsia"/>
          <w:lang w:val="en-US" w:eastAsia="ko-KR"/>
        </w:rPr>
        <w:t xml:space="preserve">. </w:t>
      </w:r>
      <w:r w:rsidR="00951465">
        <w:rPr>
          <w:lang w:val="en-US" w:eastAsia="ko-KR"/>
        </w:rPr>
        <w:t>Likewise</w:t>
      </w:r>
      <w:r w:rsidR="001D59B8">
        <w:rPr>
          <w:rFonts w:hint="eastAsia"/>
          <w:lang w:val="en-US" w:eastAsia="ko-KR"/>
        </w:rPr>
        <w:t xml:space="preserve"> </w:t>
      </w:r>
      <w:r w:rsidR="00951465">
        <w:rPr>
          <w:lang w:val="en-US" w:eastAsia="ko-KR"/>
        </w:rPr>
        <w:t xml:space="preserve">the </w:t>
      </w:r>
      <w:r w:rsidR="001D59B8">
        <w:rPr>
          <w:rFonts w:hint="eastAsia"/>
          <w:lang w:val="en-US" w:eastAsia="ko-KR"/>
        </w:rPr>
        <w:t xml:space="preserve">same principle can be applied to PUSCH port. </w:t>
      </w:r>
      <w:r w:rsidR="00951465">
        <w:rPr>
          <w:lang w:val="en-US" w:eastAsia="ko-KR"/>
        </w:rPr>
        <w:t>On the other hand</w:t>
      </w:r>
      <w:r w:rsidR="001D59B8">
        <w:rPr>
          <w:rFonts w:hint="eastAsia"/>
          <w:lang w:val="en-US" w:eastAsia="ko-KR"/>
        </w:rPr>
        <w:t xml:space="preserve">, </w:t>
      </w:r>
      <w:r w:rsidR="009B260E">
        <w:rPr>
          <w:lang w:val="en-US" w:eastAsia="ko-KR"/>
        </w:rPr>
        <w:t xml:space="preserve">the number of </w:t>
      </w:r>
      <w:r w:rsidR="001D59B8">
        <w:rPr>
          <w:rFonts w:hint="eastAsia"/>
          <w:lang w:val="en-US" w:eastAsia="ko-KR"/>
        </w:rPr>
        <w:t>SRS port</w:t>
      </w:r>
      <w:r w:rsidR="009B260E">
        <w:rPr>
          <w:lang w:val="en-US" w:eastAsia="ko-KR"/>
        </w:rPr>
        <w:t>s</w:t>
      </w:r>
      <w:r w:rsidR="001D59B8">
        <w:rPr>
          <w:rFonts w:hint="eastAsia"/>
          <w:lang w:val="en-US" w:eastAsia="ko-KR"/>
        </w:rPr>
        <w:t xml:space="preserve"> </w:t>
      </w:r>
      <w:r w:rsidR="009B260E">
        <w:rPr>
          <w:lang w:val="en-US" w:eastAsia="ko-KR"/>
        </w:rPr>
        <w:t>for</w:t>
      </w:r>
      <w:r w:rsidR="001D59B8">
        <w:rPr>
          <w:rFonts w:hint="eastAsia"/>
          <w:lang w:val="en-US" w:eastAsia="ko-KR"/>
        </w:rPr>
        <w:t xml:space="preserve"> acquir</w:t>
      </w:r>
      <w:r w:rsidR="009B260E">
        <w:rPr>
          <w:lang w:val="en-US" w:eastAsia="ko-KR"/>
        </w:rPr>
        <w:t>ing</w:t>
      </w:r>
      <w:r w:rsidR="001D59B8">
        <w:rPr>
          <w:rFonts w:hint="eastAsia"/>
          <w:lang w:val="en-US" w:eastAsia="ko-KR"/>
        </w:rPr>
        <w:t xml:space="preserve"> UL channel information </w:t>
      </w:r>
      <w:r w:rsidR="009B260E">
        <w:rPr>
          <w:lang w:val="en-US" w:eastAsia="ko-KR"/>
        </w:rPr>
        <w:t xml:space="preserve">can be associated with the </w:t>
      </w:r>
      <w:r w:rsidR="001D59B8">
        <w:rPr>
          <w:rFonts w:hint="eastAsia"/>
          <w:lang w:val="en-US" w:eastAsia="ko-KR"/>
        </w:rPr>
        <w:t xml:space="preserve">number of TXRUs for UL data transmission. In that sense, the transmission </w:t>
      </w:r>
      <w:r>
        <w:rPr>
          <w:rFonts w:hint="eastAsia"/>
          <w:lang w:val="en-US" w:eastAsia="ko-KR"/>
        </w:rPr>
        <w:t xml:space="preserve">ports should be SRS ports. For </w:t>
      </w:r>
      <w:r>
        <w:rPr>
          <w:lang w:val="en-US" w:eastAsia="ko-KR"/>
        </w:rPr>
        <w:t>X</w:t>
      </w:r>
      <w:r w:rsidR="001D59B8">
        <w:rPr>
          <w:rFonts w:hint="eastAsia"/>
          <w:lang w:val="en-US" w:eastAsia="ko-KR"/>
        </w:rPr>
        <w:t>, two alternatives can be considered as follows:</w:t>
      </w:r>
      <w:r>
        <w:rPr>
          <w:lang w:val="en-US" w:eastAsia="ko-KR"/>
        </w:rPr>
        <w:t xml:space="preserve"> </w:t>
      </w:r>
    </w:p>
    <w:p w14:paraId="589A3C04" w14:textId="21022E89"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B31254">
      <w:pPr>
        <w:pStyle w:val="ListParagraph"/>
        <w:numPr>
          <w:ilvl w:val="0"/>
          <w:numId w:val="6"/>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B31254">
      <w:pPr>
        <w:pStyle w:val="ListParagraph"/>
        <w:numPr>
          <w:ilvl w:val="1"/>
          <w:numId w:val="6"/>
        </w:numPr>
        <w:spacing w:before="60" w:after="60" w:line="288" w:lineRule="auto"/>
        <w:ind w:leftChars="0"/>
        <w:jc w:val="both"/>
        <w:rPr>
          <w:lang w:val="en-US"/>
        </w:rPr>
      </w:pPr>
      <w:r>
        <w:rPr>
          <w:rFonts w:hint="eastAsia"/>
          <w:lang w:val="en-US" w:eastAsia="ko-KR"/>
        </w:rPr>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subband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 xml:space="preserve">Additionally, in the case of </w:t>
      </w:r>
      <w:proofErr w:type="spellStart"/>
      <w:r>
        <w:rPr>
          <w:rFonts w:hint="eastAsia"/>
          <w:lang w:val="en-US" w:eastAsia="ko-KR"/>
        </w:rPr>
        <w:t>beamformed</w:t>
      </w:r>
      <w:proofErr w:type="spellEnd"/>
      <w:r>
        <w:rPr>
          <w:rFonts w:hint="eastAsia"/>
          <w:lang w:val="en-US" w:eastAsia="ko-KR"/>
        </w:rPr>
        <w:t xml:space="preserve">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15B43ED8"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sidR="009B260E">
        <w:rPr>
          <w:i/>
          <w:lang w:val="en-US" w:eastAsia="ko-KR"/>
        </w:rPr>
        <w:t>A</w:t>
      </w:r>
      <w:r w:rsidR="009B260E">
        <w:rPr>
          <w:rFonts w:hint="eastAsia"/>
          <w:i/>
          <w:lang w:val="en-US" w:eastAsia="ko-KR"/>
        </w:rPr>
        <w:t xml:space="preserve"> </w:t>
      </w:r>
      <w:r>
        <w:rPr>
          <w:rFonts w:hint="eastAsia"/>
          <w:i/>
          <w:lang w:val="en-US" w:eastAsia="ko-KR"/>
        </w:rPr>
        <w:t>transmission port</w:t>
      </w:r>
      <w:r w:rsidR="009B260E">
        <w:rPr>
          <w:i/>
          <w:lang w:val="en-US" w:eastAsia="ko-KR"/>
        </w:rPr>
        <w:t xml:space="preserve"> is an</w:t>
      </w:r>
      <w:bookmarkStart w:id="5" w:name="_GoBack"/>
      <w:bookmarkEnd w:id="5"/>
      <w:r>
        <w:rPr>
          <w:rFonts w:hint="eastAsia"/>
          <w:i/>
          <w:lang w:val="en-US" w:eastAsia="ko-KR"/>
        </w:rPr>
        <w:t xml:space="preserve"> SRS port. </w:t>
      </w:r>
    </w:p>
    <w:p w14:paraId="3E55811F" w14:textId="5941AE19"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 xml:space="preserve">Maximum number of configured SRS ports </w:t>
      </w:r>
      <w:r w:rsidR="009B260E">
        <w:rPr>
          <w:i/>
          <w:lang w:val="en-US" w:eastAsia="ko-KR"/>
        </w:rPr>
        <w:t>is a</w:t>
      </w:r>
      <w:r>
        <w:rPr>
          <w:rFonts w:hint="eastAsia"/>
          <w:i/>
          <w:lang w:val="en-US" w:eastAsia="ko-KR"/>
        </w:rPr>
        <w:t xml:space="preserve"> better option than number of antenna ports in the SRS resource which is indicated by SRI.</w:t>
      </w:r>
    </w:p>
    <w:p w14:paraId="6CD70442" w14:textId="77900E14" w:rsidR="001D59B8" w:rsidRDefault="001D59B8" w:rsidP="00B31254">
      <w:pPr>
        <w:pStyle w:val="ListParagraph"/>
        <w:numPr>
          <w:ilvl w:val="0"/>
          <w:numId w:val="9"/>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47C0DF1B" w:rsidR="0009129D" w:rsidRPr="008E3105" w:rsidRDefault="008E3105" w:rsidP="0009129D">
      <w:pPr>
        <w:spacing w:before="60" w:after="60" w:line="288" w:lineRule="auto"/>
        <w:ind w:firstLine="446"/>
        <w:jc w:val="both"/>
        <w:rPr>
          <w:lang w:val="en-US"/>
        </w:rPr>
      </w:pPr>
      <w:r w:rsidRPr="008E3105">
        <w:rPr>
          <w:lang w:val="en-US"/>
        </w:rPr>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 xml:space="preserve">efficiently used, rather than using a fixed “subband” size (for a given UL system bandwidth), the “subband” size 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“subband”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B31254">
      <w:pPr>
        <w:pStyle w:val="ListParagraph"/>
        <w:numPr>
          <w:ilvl w:val="1"/>
          <w:numId w:val="6"/>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B31254">
      <w:pPr>
        <w:pStyle w:val="ListParagraph"/>
        <w:numPr>
          <w:ilvl w:val="0"/>
          <w:numId w:val="6"/>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B31254">
      <w:pPr>
        <w:pStyle w:val="ListParagraph"/>
        <w:numPr>
          <w:ilvl w:val="1"/>
          <w:numId w:val="6"/>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B31254">
      <w:pPr>
        <w:pStyle w:val="ListParagraph"/>
        <w:numPr>
          <w:ilvl w:val="1"/>
          <w:numId w:val="6"/>
        </w:numPr>
        <w:spacing w:before="60" w:after="60" w:line="288" w:lineRule="auto"/>
        <w:ind w:leftChars="0"/>
        <w:jc w:val="both"/>
        <w:rPr>
          <w:lang w:val="en-US"/>
        </w:rPr>
      </w:pPr>
      <w:r>
        <w:rPr>
          <w:lang w:val="en-US"/>
        </w:rPr>
        <w:lastRenderedPageBreak/>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B31254">
      <w:pPr>
        <w:pStyle w:val="ListParagraph"/>
        <w:numPr>
          <w:ilvl w:val="0"/>
          <w:numId w:val="10"/>
        </w:numPr>
        <w:spacing w:before="60" w:after="60" w:line="288" w:lineRule="auto"/>
        <w:ind w:leftChars="0"/>
        <w:jc w:val="both"/>
        <w:rPr>
          <w:i/>
          <w:lang w:val="en-US"/>
        </w:rPr>
      </w:pPr>
      <w:r w:rsidRPr="00A85225">
        <w:rPr>
          <w:i/>
          <w:lang w:val="en-US"/>
        </w:rPr>
        <w:t xml:space="preserve">The </w:t>
      </w:r>
      <w:r>
        <w:rPr>
          <w:i/>
          <w:lang w:val="en-US"/>
        </w:rPr>
        <w:t>“</w:t>
      </w:r>
      <w:r w:rsidRPr="00A85225">
        <w:rPr>
          <w:i/>
          <w:lang w:val="en-US"/>
        </w:rPr>
        <w:t>subband</w:t>
      </w:r>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29.5pt" o:ole="">
            <v:imagedata r:id="rId8" o:title=""/>
          </v:shape>
          <o:OLEObject Type="Embed" ProgID="Visio.Drawing.11" ShapeID="_x0000_i1025" DrawAspect="Content" ObjectID="_1566640144" r:id="rId9"/>
        </w:object>
      </w:r>
    </w:p>
    <w:p w14:paraId="4901CEAE" w14:textId="1323408A"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E20F74">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 xml:space="preserve">In contrast to </w:t>
      </w:r>
      <w:proofErr w:type="spellStart"/>
      <w:r>
        <w:rPr>
          <w:rFonts w:hint="eastAsia"/>
          <w:lang w:val="en-US" w:eastAsia="ko-KR"/>
        </w:rPr>
        <w:t>gNB</w:t>
      </w:r>
      <w:proofErr w:type="spellEnd"/>
      <w:r>
        <w:rPr>
          <w:rFonts w:hint="eastAsia"/>
          <w:lang w:val="en-US" w:eastAsia="ko-KR"/>
        </w:rPr>
        <w:t>,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proofErr w:type="spellStart"/>
      <w:r w:rsidR="00023A42" w:rsidRPr="00604289">
        <w:rPr>
          <w:lang w:val="en-US" w:eastAsia="ko-KR"/>
        </w:rPr>
        <w:t>gNB</w:t>
      </w:r>
      <w:proofErr w:type="spellEnd"/>
      <w:r w:rsidR="00023A42" w:rsidRPr="00604289">
        <w:rPr>
          <w:lang w:val="en-US" w:eastAsia="ko-KR"/>
        </w:rPr>
        <w:t xml:space="preserve">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 xml:space="preserve">UL </w:t>
      </w:r>
      <w:proofErr w:type="spellStart"/>
      <w:r w:rsidRPr="008E3105">
        <w:rPr>
          <w:sz w:val="28"/>
          <w:lang w:val="en-US"/>
        </w:rPr>
        <w:t>fall-back</w:t>
      </w:r>
      <w:proofErr w:type="spellEnd"/>
      <w:r w:rsidRPr="008E3105">
        <w:rPr>
          <w:sz w:val="28"/>
          <w:lang w:val="en-US"/>
        </w:rPr>
        <w:t xml:space="preserve">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77777777"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proposed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lastRenderedPageBreak/>
        <w:t xml:space="preserve">For coverage-limited scenarios which can occur abruptly </w:t>
      </w:r>
      <w:r w:rsidR="00F858FC" w:rsidRPr="008E3105">
        <w:rPr>
          <w:lang w:val="en-US"/>
        </w:rPr>
        <w:t xml:space="preserve">yet remain for a prolonged period of time (such as </w:t>
      </w:r>
      <w:proofErr w:type="spellStart"/>
      <w:r w:rsidR="00F858FC" w:rsidRPr="008E3105">
        <w:rPr>
          <w:lang w:val="en-US"/>
        </w:rPr>
        <w:t>bursty</w:t>
      </w:r>
      <w:proofErr w:type="spellEnd"/>
      <w:r w:rsidR="00F858FC" w:rsidRPr="008E3105">
        <w:rPr>
          <w:lang w:val="en-US"/>
        </w:rPr>
        <w:t xml:space="preserve">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w:t>
      </w:r>
      <w:proofErr w:type="spellStart"/>
      <w:r w:rsidR="0080740C" w:rsidRPr="008E3105">
        <w:rPr>
          <w:lang w:val="en-US"/>
        </w:rPr>
        <w:t>fall-back</w:t>
      </w:r>
      <w:proofErr w:type="spellEnd"/>
      <w:r w:rsidR="0080740C" w:rsidRPr="008E3105">
        <w:rPr>
          <w:lang w:val="en-US"/>
        </w:rPr>
        <w:t xml:space="preserve">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4B6CEBA1" w14:textId="337EDF24" w:rsidR="00D075D0" w:rsidRPr="008E3105" w:rsidRDefault="00D075D0" w:rsidP="00FA1D2B">
      <w:pPr>
        <w:pStyle w:val="maintext"/>
        <w:ind w:firstLineChars="0" w:firstLine="0"/>
        <w:rPr>
          <w:i/>
          <w:lang w:val="en-US"/>
        </w:rPr>
      </w:pPr>
      <w:r w:rsidRPr="008E3105">
        <w:rPr>
          <w:b/>
          <w:i/>
          <w:u w:val="single"/>
          <w:lang w:val="en-US"/>
        </w:rPr>
        <w:t>Proposal</w:t>
      </w:r>
      <w:r w:rsidRPr="008E3105">
        <w:rPr>
          <w:i/>
          <w:lang w:val="en-US"/>
        </w:rPr>
        <w:t xml:space="preserve">: CP-OFDM </w:t>
      </w:r>
      <w:r w:rsidR="00CA37A7" w:rsidRPr="008E3105">
        <w:rPr>
          <w:i/>
          <w:lang w:val="en-US"/>
        </w:rPr>
        <w:t xml:space="preserve">waveform is used </w:t>
      </w:r>
      <w:r w:rsidR="00D84744">
        <w:rPr>
          <w:i/>
          <w:lang w:val="en-US"/>
        </w:rPr>
        <w:t>with</w:t>
      </w:r>
      <w:r w:rsidR="00CA37A7" w:rsidRPr="008E3105">
        <w:rPr>
          <w:i/>
          <w:lang w:val="en-US"/>
        </w:rPr>
        <w:t xml:space="preserve"> rank-adapted transmission </w:t>
      </w:r>
      <w:r w:rsidRPr="008E3105">
        <w:rPr>
          <w:i/>
          <w:lang w:val="en-US"/>
        </w:rPr>
        <w:t>irresp</w:t>
      </w:r>
      <w:r w:rsidR="00CA37A7" w:rsidRPr="008E3105">
        <w:rPr>
          <w:i/>
          <w:lang w:val="en-US"/>
        </w:rPr>
        <w:t>ective of the rank</w:t>
      </w:r>
      <w:r w:rsidRPr="008E3105">
        <w:rPr>
          <w:i/>
          <w:lang w:val="en-US"/>
        </w:rPr>
        <w:t xml:space="preserve"> </w:t>
      </w:r>
    </w:p>
    <w:p w14:paraId="2C984C37" w14:textId="00D9EEB6" w:rsidR="00D075D0" w:rsidRPr="008E3105" w:rsidRDefault="00D075D0" w:rsidP="00B31254">
      <w:pPr>
        <w:pStyle w:val="maintext"/>
        <w:numPr>
          <w:ilvl w:val="0"/>
          <w:numId w:val="8"/>
        </w:numPr>
        <w:ind w:firstLineChars="0"/>
        <w:rPr>
          <w:i/>
          <w:lang w:val="en-US"/>
        </w:rPr>
      </w:pPr>
      <w:r w:rsidRPr="008E3105">
        <w:rPr>
          <w:i/>
          <w:lang w:val="en-US"/>
        </w:rPr>
        <w:t>Single-stream</w:t>
      </w:r>
      <w:r w:rsidR="00CA37A7" w:rsidRPr="008E3105">
        <w:rPr>
          <w:i/>
          <w:lang w:val="en-US"/>
        </w:rPr>
        <w:t xml:space="preserve"> SC-FDMA</w:t>
      </w:r>
      <w:r w:rsidRPr="008E3105">
        <w:rPr>
          <w:i/>
          <w:lang w:val="en-US"/>
        </w:rPr>
        <w:t xml:space="preserve">-based transmission can be </w:t>
      </w:r>
      <w:r w:rsidR="00CA37A7" w:rsidRPr="008E3105">
        <w:rPr>
          <w:i/>
          <w:lang w:val="en-US"/>
        </w:rPr>
        <w:t xml:space="preserve">supported </w:t>
      </w:r>
      <w:r w:rsidRPr="008E3105">
        <w:rPr>
          <w:i/>
          <w:lang w:val="en-US"/>
        </w:rPr>
        <w:t>as a fallback transmission scheme</w:t>
      </w:r>
      <w:r w:rsidR="00CA37A7" w:rsidRPr="008E3105">
        <w:rPr>
          <w:i/>
          <w:lang w:val="en-US"/>
        </w:rPr>
        <w:t>, enabled via a compact UL-related DCI</w:t>
      </w:r>
      <w:r w:rsidRPr="008E3105">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11AF7FF2" w:rsidR="00A805F1" w:rsidRDefault="00A805F1" w:rsidP="00B31254">
      <w:pPr>
        <w:pStyle w:val="Heading2"/>
        <w:numPr>
          <w:ilvl w:val="0"/>
          <w:numId w:val="11"/>
        </w:numPr>
        <w:rPr>
          <w:sz w:val="28"/>
          <w:lang w:val="en-US"/>
        </w:rPr>
      </w:pPr>
      <w:r>
        <w:rPr>
          <w:sz w:val="28"/>
          <w:lang w:val="en-US"/>
        </w:rPr>
        <w:t>UL codebook</w:t>
      </w:r>
    </w:p>
    <w:p w14:paraId="169E8C34" w14:textId="6C8A0ED4" w:rsidR="006B16F0" w:rsidRPr="008C3FDD" w:rsidRDefault="007C6C38" w:rsidP="00FA1D2B">
      <w:pPr>
        <w:spacing w:before="60" w:after="120" w:line="288" w:lineRule="auto"/>
        <w:ind w:firstLine="432"/>
        <w:jc w:val="both"/>
      </w:pPr>
      <w:r>
        <w:t>The</w:t>
      </w:r>
      <w:r w:rsidR="006B16F0">
        <w:t xml:space="preserve"> codebook-based UL transmission schemes include </w:t>
      </w:r>
      <w:r w:rsidRPr="00FA1D2B">
        <w:rPr>
          <w:lang w:val="en-US"/>
        </w:rPr>
        <w:t>frequency non-selective or</w:t>
      </w:r>
      <w:r>
        <w:rPr>
          <w:i/>
          <w:lang w:val="en-US"/>
        </w:rPr>
        <w:t xml:space="preserve"> </w:t>
      </w:r>
      <w:r>
        <w:rPr>
          <w:lang w:eastAsia="zh-CN"/>
        </w:rPr>
        <w:t xml:space="preserve">frequency-selective </w:t>
      </w:r>
      <w:r w:rsidR="006B16F0" w:rsidRPr="008E3DC0">
        <w:rPr>
          <w:lang w:eastAsia="zh-CN"/>
        </w:rPr>
        <w:t>precoding</w:t>
      </w:r>
      <w:r>
        <w:rPr>
          <w:lang w:eastAsia="zh-CN"/>
        </w:rPr>
        <w:t xml:space="preserve">, referred to as </w:t>
      </w:r>
      <w:r>
        <w:t>Transmission Scheme 1 (TS1),</w:t>
      </w:r>
      <w:r w:rsidR="006B16F0">
        <w:rPr>
          <w:lang w:eastAsia="zh-CN"/>
        </w:rPr>
        <w:t xml:space="preserve"> </w:t>
      </w:r>
      <w:r>
        <w:rPr>
          <w:lang w:eastAsia="zh-CN"/>
        </w:rPr>
        <w:t xml:space="preserve">and </w:t>
      </w:r>
      <w:r w:rsidR="00FA1D2B">
        <w:t>diversity-based scheme</w:t>
      </w:r>
      <w:r>
        <w:t xml:space="preserve">, referred to as </w:t>
      </w:r>
      <w:r>
        <w:rPr>
          <w:lang w:eastAsia="zh-CN"/>
        </w:rPr>
        <w:t>Transmission Scheme 2 (TS2). F</w:t>
      </w:r>
      <w:r w:rsidR="006B16F0">
        <w:t>or TS1, a fixed number (</w:t>
      </w:r>
      <w:r w:rsidR="006B16F0" w:rsidRPr="00E32213">
        <w:rPr>
          <w:i/>
        </w:rPr>
        <w:t>N</w:t>
      </w:r>
      <w:r w:rsidR="006B16F0">
        <w:t>) of pre</w:t>
      </w:r>
      <w:r>
        <w:t>-</w:t>
      </w:r>
      <w:r w:rsidR="006B16F0">
        <w:t>coders (</w:t>
      </w:r>
      <w:r w:rsidR="006B16F0" w:rsidRPr="00E32213">
        <w:rPr>
          <w:i/>
        </w:rPr>
        <w:t>N</w:t>
      </w:r>
      <w:r w:rsidR="006B16F0">
        <w:t xml:space="preserve"> TPMIs) are indicated to a UE, and for TS2, a single PMI (TPMI) indicating a group of pre</w:t>
      </w:r>
      <w:r>
        <w:t>-</w:t>
      </w:r>
      <w:r w:rsidR="006B16F0">
        <w:t xml:space="preserve">coders is indicated. </w:t>
      </w:r>
      <w:r>
        <w:t>T</w:t>
      </w:r>
      <w:r w:rsidR="006B16F0">
        <w:t>he UL codebook for TPMI indication for both TS1 and TS2</w:t>
      </w:r>
      <w:r>
        <w:t xml:space="preserve"> is discussed in this section</w:t>
      </w:r>
      <w:r w:rsidR="006B16F0">
        <w:t xml:space="preserve">. </w:t>
      </w:r>
      <w:r>
        <w:t xml:space="preserve"> </w:t>
      </w:r>
    </w:p>
    <w:p w14:paraId="2E0DF391" w14:textId="497CE1C7" w:rsidR="00A2115E" w:rsidRDefault="00A2115E" w:rsidP="00FA1D2B">
      <w:pPr>
        <w:pStyle w:val="maintext"/>
        <w:spacing w:after="120"/>
        <w:ind w:firstLineChars="0" w:firstLine="432"/>
      </w:pPr>
      <w:r>
        <w:rPr>
          <w:lang w:eastAsia="zh-CN"/>
        </w:rPr>
        <w:t>In LTE, UL codebook for 2 and 4 antenna ports are supported. The codebook includes pre-coders with antenna turn-offs (i.e., some antenna ports are assigned zero values) in order to keep peak-to-average power ratio (PAPR) low and cubic-metric (CM) for rank &gt; 1 small [</w:t>
      </w:r>
      <w:r w:rsidR="00712D0F">
        <w:rPr>
          <w:lang w:eastAsia="zh-CN"/>
        </w:rPr>
        <w:t>4-7</w:t>
      </w:r>
      <w:r>
        <w:rPr>
          <w:lang w:eastAsia="zh-CN"/>
        </w:rPr>
        <w:t xml:space="preserve">]. But its benefit seems to be limited to cases such as DFT-S-OFDM based UL. For CP-OFDM based UL, the antenna turn-off may or may not be beneficial for transmission. It is therefore proposed that antenna turn-off is configurable in NR UL codebook. </w:t>
      </w:r>
      <w:r>
        <w:t>When turned ON, both pre-coders with and without antenna turn-offs are considered in TPMI indication. Otherwise, only pre-coders without antenna turn-offs are considered in TPMI indication.</w:t>
      </w:r>
      <w:r w:rsidR="0010733A">
        <w:t xml:space="preserve"> </w:t>
      </w:r>
    </w:p>
    <w:p w14:paraId="6845BFB7" w14:textId="650E3F82" w:rsidR="00A2115E" w:rsidRDefault="00A2115E" w:rsidP="00A2115E">
      <w:pPr>
        <w:pStyle w:val="maintext"/>
        <w:spacing w:after="120"/>
        <w:ind w:firstLineChars="0" w:firstLine="0"/>
        <w:rPr>
          <w:i/>
        </w:rPr>
      </w:pPr>
      <w:r w:rsidRPr="00FA1D2B">
        <w:rPr>
          <w:b/>
          <w:i/>
          <w:u w:val="single"/>
        </w:rPr>
        <w:t>Proposal</w:t>
      </w:r>
      <w:r w:rsidRPr="00662B7C">
        <w:rPr>
          <w:i/>
        </w:rPr>
        <w:t xml:space="preserve">: </w:t>
      </w:r>
      <w:r>
        <w:rPr>
          <w:i/>
        </w:rPr>
        <w:t>For rank-1 transmission, support configurable antenna turn-off in NR UL codebook design</w:t>
      </w:r>
    </w:p>
    <w:p w14:paraId="56D8B89B" w14:textId="77777777" w:rsidR="00A2115E" w:rsidRDefault="00A2115E" w:rsidP="00B31254">
      <w:pPr>
        <w:pStyle w:val="maintext"/>
        <w:numPr>
          <w:ilvl w:val="0"/>
          <w:numId w:val="14"/>
        </w:numPr>
        <w:spacing w:after="120"/>
        <w:ind w:firstLineChars="0"/>
        <w:rPr>
          <w:i/>
        </w:rPr>
      </w:pPr>
      <w:r>
        <w:rPr>
          <w:i/>
        </w:rPr>
        <w:t>Only applicable when DFT-S-OFDM waveform is used.</w:t>
      </w:r>
    </w:p>
    <w:p w14:paraId="532EE614" w14:textId="4CCC2122" w:rsidR="00A2115E" w:rsidRDefault="00A2115E" w:rsidP="00FA1D2B">
      <w:pPr>
        <w:spacing w:before="60" w:after="120" w:line="288" w:lineRule="auto"/>
        <w:ind w:firstLine="360"/>
        <w:jc w:val="both"/>
      </w:pPr>
      <w:r>
        <w:t>Since for pre</w:t>
      </w:r>
      <w:r w:rsidR="00FE364F">
        <w:t>-</w:t>
      </w:r>
      <w:r>
        <w:t xml:space="preserve">coder cycling based TS2, TPMI indicates a group of </w:t>
      </w:r>
      <w:r w:rsidR="00732DD7">
        <w:t>beams/</w:t>
      </w:r>
      <w:r>
        <w:t>pre</w:t>
      </w:r>
      <w:r w:rsidR="00FE364F">
        <w:t>-</w:t>
      </w:r>
      <w:r>
        <w:t>coders, pre</w:t>
      </w:r>
      <w:r w:rsidR="00FE364F">
        <w:t>-</w:t>
      </w:r>
      <w:r>
        <w:t>coders in UL codebook need to be grouped for cycling. Following DL codebook structure, a simple approach to group UL pre</w:t>
      </w:r>
      <w:r w:rsidR="00FE364F">
        <w:t>-</w:t>
      </w:r>
      <w:r>
        <w:t xml:space="preserve">coders is to consider a dual-stage codebook </w:t>
      </w:r>
      <w:r w:rsidRPr="00EA5E18">
        <w:rPr>
          <w:b/>
        </w:rPr>
        <w:t>W</w:t>
      </w:r>
      <w:r>
        <w:t xml:space="preserve"> = </w:t>
      </w:r>
      <w:r w:rsidRPr="00EA5E18">
        <w:rPr>
          <w:b/>
        </w:rPr>
        <w:t>W</w:t>
      </w:r>
      <w:r w:rsidRPr="00EA5E18">
        <w:rPr>
          <w:vertAlign w:val="subscript"/>
        </w:rPr>
        <w:t>1</w:t>
      </w:r>
      <w:r w:rsidRPr="00EA5E18">
        <w:rPr>
          <w:b/>
        </w:rPr>
        <w:t>W</w:t>
      </w:r>
      <w:r w:rsidRPr="00EA5E18">
        <w:rPr>
          <w:vertAlign w:val="subscript"/>
        </w:rPr>
        <w:t>2</w:t>
      </w:r>
      <w:r>
        <w:rPr>
          <w:vertAlign w:val="subscript"/>
        </w:rPr>
        <w:t xml:space="preserve"> </w:t>
      </w:r>
      <w:r>
        <w:t xml:space="preserve">for UL, where the first stage codebook </w:t>
      </w:r>
      <w:r w:rsidRPr="00EA5E18">
        <w:rPr>
          <w:b/>
        </w:rPr>
        <w:t>W</w:t>
      </w:r>
      <w:r w:rsidRPr="00EA5E18">
        <w:rPr>
          <w:vertAlign w:val="subscript"/>
        </w:rPr>
        <w:t>1</w:t>
      </w:r>
      <w:r w:rsidRPr="00B85DE4">
        <w:t xml:space="preserve"> is</w:t>
      </w:r>
      <w:r>
        <w:t xml:space="preserve"> used to form pre</w:t>
      </w:r>
      <w:r w:rsidR="00FE364F">
        <w:t>-</w:t>
      </w:r>
      <w:r>
        <w:t>coder groups. The dual-stage codebook is also be used for TS1, for example, to reduce the number of pre</w:t>
      </w:r>
      <w:r w:rsidR="00FE364F">
        <w:t>-</w:t>
      </w:r>
      <w:r>
        <w:t>coders for frequency-selective pre</w:t>
      </w:r>
      <w:r w:rsidR="00FE364F">
        <w:t>-</w:t>
      </w:r>
      <w:r>
        <w:t>coder selection, where pre</w:t>
      </w:r>
      <w:r w:rsidR="00FE364F">
        <w:t>-</w:t>
      </w:r>
      <w:r>
        <w:t xml:space="preserve">coder selection is performed using the second stage codebook </w:t>
      </w:r>
      <w:r w:rsidRPr="00EA5E18">
        <w:rPr>
          <w:b/>
        </w:rPr>
        <w:t>W</w:t>
      </w:r>
      <w:r w:rsidRPr="00EA5E18">
        <w:rPr>
          <w:vertAlign w:val="subscript"/>
        </w:rPr>
        <w:t>2</w:t>
      </w:r>
      <w:r>
        <w:t xml:space="preserve">. An example of UL codebook structure is shown in </w:t>
      </w:r>
      <w:r>
        <w:fldChar w:fldCharType="begin"/>
      </w:r>
      <w:r>
        <w:instrText xml:space="preserve"> REF _Ref473879664 \h </w:instrText>
      </w:r>
      <w:r>
        <w:fldChar w:fldCharType="separate"/>
      </w:r>
      <w:r w:rsidR="00E20F74">
        <w:t xml:space="preserve">Figure </w:t>
      </w:r>
      <w:r w:rsidR="00E20F74">
        <w:rPr>
          <w:noProof/>
        </w:rPr>
        <w:t>2</w:t>
      </w:r>
      <w:r>
        <w:fldChar w:fldCharType="end"/>
      </w:r>
      <w:r>
        <w:t xml:space="preserve"> in which there are </w:t>
      </w:r>
      <w:r w:rsidRPr="00127C50">
        <w:rPr>
          <w:i/>
        </w:rPr>
        <w:t>M</w:t>
      </w:r>
      <w:r>
        <w:t xml:space="preserve"> groups of pre</w:t>
      </w:r>
      <w:r w:rsidR="00FE364F">
        <w:t>-</w:t>
      </w:r>
      <w:r>
        <w:t xml:space="preserve">coders and each group comprises of </w:t>
      </w:r>
      <w:r w:rsidRPr="00127C50">
        <w:rPr>
          <w:i/>
        </w:rPr>
        <w:t>N</w:t>
      </w:r>
      <w:r>
        <w:t xml:space="preserve"> pre</w:t>
      </w:r>
      <w:r w:rsidR="00FE364F">
        <w:t>-</w:t>
      </w:r>
      <w:r>
        <w:t xml:space="preserve">coders. </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26" type="#_x0000_t75" style="width:229pt;height:156.5pt" o:ole="">
            <v:imagedata r:id="rId10" o:title=""/>
          </v:shape>
          <o:OLEObject Type="Embed" ProgID="Visio.Drawing.11" ShapeID="_x0000_i1026" DrawAspect="Content" ObjectID="_1566640145" r:id="rId11"/>
        </w:object>
      </w:r>
    </w:p>
    <w:p w14:paraId="54168391" w14:textId="5555F1D4" w:rsidR="00A2115E" w:rsidRDefault="00A2115E" w:rsidP="00A2115E">
      <w:pPr>
        <w:pStyle w:val="Caption"/>
        <w:spacing w:before="60" w:after="120" w:line="288" w:lineRule="auto"/>
        <w:jc w:val="center"/>
      </w:pPr>
      <w:bookmarkStart w:id="6" w:name="_Ref473879664"/>
      <w:r>
        <w:t xml:space="preserve">Figure </w:t>
      </w:r>
      <w:r>
        <w:fldChar w:fldCharType="begin"/>
      </w:r>
      <w:r>
        <w:instrText xml:space="preserve"> SEQ Figure \* ARABIC </w:instrText>
      </w:r>
      <w:r>
        <w:fldChar w:fldCharType="separate"/>
      </w:r>
      <w:r w:rsidR="00E20F74">
        <w:rPr>
          <w:noProof/>
        </w:rPr>
        <w:t>2</w:t>
      </w:r>
      <w:r>
        <w:fldChar w:fldCharType="end"/>
      </w:r>
      <w:bookmarkEnd w:id="6"/>
      <w:r>
        <w:t>: UL codebook structure</w:t>
      </w:r>
    </w:p>
    <w:p w14:paraId="7EC227EA" w14:textId="77777777" w:rsidR="00A2115E" w:rsidRDefault="00A2115E" w:rsidP="00A2115E">
      <w:pPr>
        <w:spacing w:before="60" w:after="120" w:line="288" w:lineRule="auto"/>
        <w:jc w:val="both"/>
      </w:pPr>
      <w:r>
        <w:t>To construct</w:t>
      </w:r>
      <w:r w:rsidRPr="00127C50">
        <w:t xml:space="preserve"> UL</w:t>
      </w:r>
      <w:r>
        <w:t xml:space="preserve"> codebook, the following cases are considered.</w:t>
      </w:r>
    </w:p>
    <w:p w14:paraId="79823ED4" w14:textId="610253C1" w:rsidR="00A2115E" w:rsidRDefault="00A2115E" w:rsidP="00B31254">
      <w:pPr>
        <w:pStyle w:val="ListParagraph"/>
        <w:numPr>
          <w:ilvl w:val="0"/>
          <w:numId w:val="12"/>
        </w:numPr>
        <w:spacing w:before="60" w:after="120" w:line="288" w:lineRule="auto"/>
        <w:ind w:leftChars="0"/>
        <w:jc w:val="both"/>
      </w:pPr>
      <w:r>
        <w:lastRenderedPageBreak/>
        <w:t xml:space="preserve">If antenna turn-off is </w:t>
      </w:r>
      <w:r w:rsidRPr="00101598">
        <w:rPr>
          <w:i/>
        </w:rPr>
        <w:t>not configured</w:t>
      </w:r>
      <w:r>
        <w:t>, then pre</w:t>
      </w:r>
      <w:r w:rsidR="00FE364F">
        <w:t>-</w:t>
      </w:r>
      <w:r>
        <w:t>coder grouping is based on correlation, i.e., pre</w:t>
      </w:r>
      <w:r w:rsidR="00FE364F">
        <w:t>-</w:t>
      </w:r>
      <w:r>
        <w:t>coders with high-correlation (or spatially adjacent pre</w:t>
      </w:r>
      <w:r w:rsidR="00FE364F">
        <w:t>-</w:t>
      </w:r>
      <w:r>
        <w:t>coders) form a group.</w:t>
      </w:r>
    </w:p>
    <w:p w14:paraId="14B150EA" w14:textId="2E29FFED" w:rsidR="00A2115E" w:rsidRDefault="00A2115E" w:rsidP="00B31254">
      <w:pPr>
        <w:pStyle w:val="ListParagraph"/>
        <w:numPr>
          <w:ilvl w:val="0"/>
          <w:numId w:val="12"/>
        </w:numPr>
        <w:spacing w:before="60" w:after="120" w:line="288" w:lineRule="auto"/>
        <w:ind w:leftChars="0"/>
        <w:jc w:val="both"/>
      </w:pPr>
      <w:r>
        <w:t xml:space="preserve">If antenna turn-off is </w:t>
      </w:r>
      <w:r w:rsidRPr="00101598">
        <w:rPr>
          <w:i/>
        </w:rPr>
        <w:t>configured</w:t>
      </w:r>
      <w:r>
        <w:t>, then pre</w:t>
      </w:r>
      <w:r w:rsidR="00FE364F">
        <w:t>-</w:t>
      </w:r>
      <w:r>
        <w:t>coder grouping is such that pre</w:t>
      </w:r>
      <w:r w:rsidR="00FE364F">
        <w:t>-</w:t>
      </w:r>
      <w:r>
        <w:t>coders which having zeros at the same entries form a group. Note that this is to ensure that pre</w:t>
      </w:r>
      <w:r w:rsidR="00FE364F">
        <w:t>-</w:t>
      </w:r>
      <w:r>
        <w:t xml:space="preserve">coders in a group have high correlation. </w:t>
      </w:r>
    </w:p>
    <w:p w14:paraId="7179EB42" w14:textId="615BD36C" w:rsidR="00A2115E" w:rsidRDefault="00A2115E" w:rsidP="00A2115E">
      <w:pPr>
        <w:spacing w:before="60" w:after="120" w:line="288" w:lineRule="auto"/>
        <w:jc w:val="both"/>
        <w:rPr>
          <w:b/>
          <w:i/>
        </w:rPr>
      </w:pPr>
      <w:r>
        <w:t xml:space="preserve">For UL codebook </w:t>
      </w:r>
      <w:r w:rsidRPr="00DC0FE1">
        <w:rPr>
          <w:b/>
        </w:rPr>
        <w:t>W</w:t>
      </w:r>
      <w:r>
        <w:t>, both LTE UL codebook for 2 and 4 ports, and NR Type I C</w:t>
      </w:r>
      <w:r w:rsidR="00474000">
        <w:t xml:space="preserve">SI codebook for 2, 4, </w:t>
      </w:r>
      <w:r>
        <w:t>and 8</w:t>
      </w:r>
      <w:r w:rsidR="00712D0F">
        <w:t xml:space="preserve"> ports, agreed</w:t>
      </w:r>
      <w:r w:rsidRPr="00652179">
        <w:t xml:space="preserve"> in [</w:t>
      </w:r>
      <w:r w:rsidR="00712D0F">
        <w:t>3</w:t>
      </w:r>
      <w:r w:rsidR="00FE364F">
        <w:t>]</w:t>
      </w:r>
      <w:r w:rsidRPr="00652179">
        <w:t xml:space="preserve">, can be considered as the starting point.   </w:t>
      </w:r>
    </w:p>
    <w:p w14:paraId="6D434367" w14:textId="6176FF23" w:rsidR="00A2115E" w:rsidRPr="00652179" w:rsidRDefault="00A2115E" w:rsidP="00A2115E">
      <w:pPr>
        <w:pStyle w:val="maintext"/>
        <w:spacing w:after="120"/>
        <w:ind w:firstLineChars="0" w:firstLine="0"/>
        <w:rPr>
          <w:i/>
        </w:rPr>
      </w:pPr>
      <w:r w:rsidRPr="00FA1D2B">
        <w:rPr>
          <w:b/>
          <w:i/>
          <w:u w:val="single"/>
        </w:rPr>
        <w:t>Proposal</w:t>
      </w:r>
      <w:r w:rsidRPr="00652179">
        <w:rPr>
          <w:i/>
        </w:rPr>
        <w:t xml:space="preserve">: 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AC01C9">
        <w:rPr>
          <w:i/>
        </w:rPr>
        <w:t xml:space="preserve">the first stage codebook </w:t>
      </w:r>
      <w:r w:rsidRPr="00AC01C9">
        <w:rPr>
          <w:b/>
          <w:i/>
        </w:rPr>
        <w:t>W</w:t>
      </w:r>
      <w:r w:rsidRPr="00AC01C9">
        <w:rPr>
          <w:i/>
          <w:vertAlign w:val="subscript"/>
        </w:rPr>
        <w:t>1</w:t>
      </w:r>
      <w:r w:rsidRPr="00AC01C9">
        <w:rPr>
          <w:i/>
        </w:rPr>
        <w:t xml:space="preserve"> is used to </w:t>
      </w:r>
      <w:r>
        <w:rPr>
          <w:i/>
        </w:rPr>
        <w:t>select a</w:t>
      </w:r>
      <w:r w:rsidRPr="00AC01C9">
        <w:rPr>
          <w:i/>
        </w:rPr>
        <w:t xml:space="preserve"> pre</w:t>
      </w:r>
      <w:r w:rsidR="004465B5">
        <w:rPr>
          <w:i/>
        </w:rPr>
        <w:t>-</w:t>
      </w:r>
      <w:r w:rsidRPr="00AC01C9">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4465B5">
        <w:rPr>
          <w:i/>
        </w:rPr>
        <w:t>-</w:t>
      </w:r>
      <w:r>
        <w:rPr>
          <w:i/>
        </w:rPr>
        <w:t xml:space="preserve">coder from the selected </w:t>
      </w:r>
      <w:r w:rsidR="004465B5">
        <w:rPr>
          <w:i/>
        </w:rPr>
        <w:t>p</w:t>
      </w:r>
      <w:r>
        <w:rPr>
          <w:i/>
        </w:rPr>
        <w:t>r</w:t>
      </w:r>
      <w:r w:rsidR="004465B5">
        <w:rPr>
          <w:i/>
        </w:rPr>
        <w:t>e-</w:t>
      </w:r>
      <w:r>
        <w:rPr>
          <w:i/>
        </w:rPr>
        <w:t>coder group</w:t>
      </w:r>
      <w:r w:rsidRPr="00652179">
        <w:rPr>
          <w:i/>
        </w:rPr>
        <w:t xml:space="preserve">. </w:t>
      </w:r>
    </w:p>
    <w:p w14:paraId="487DAD25" w14:textId="4477F7EE" w:rsidR="00A2115E" w:rsidRDefault="00A2115E" w:rsidP="00B31254">
      <w:pPr>
        <w:pStyle w:val="maintext"/>
        <w:numPr>
          <w:ilvl w:val="0"/>
          <w:numId w:val="13"/>
        </w:numPr>
        <w:spacing w:after="120"/>
        <w:ind w:firstLineChars="0"/>
        <w:rPr>
          <w:i/>
        </w:rPr>
      </w:pPr>
      <w:r>
        <w:rPr>
          <w:i/>
        </w:rPr>
        <w:t xml:space="preserve">For TS2, </w:t>
      </w:r>
      <w:r w:rsidRPr="00AC01C9">
        <w:rPr>
          <w:b/>
          <w:i/>
        </w:rPr>
        <w:t>W</w:t>
      </w:r>
      <w:r w:rsidRPr="00AC01C9">
        <w:rPr>
          <w:i/>
          <w:vertAlign w:val="subscript"/>
        </w:rPr>
        <w:t>1</w:t>
      </w:r>
      <w:r>
        <w:rPr>
          <w:i/>
        </w:rPr>
        <w:t xml:space="preserve"> codebook is used, and for TS1, both </w:t>
      </w:r>
      <w:r w:rsidRPr="00AC01C9">
        <w:rPr>
          <w:b/>
          <w:i/>
        </w:rPr>
        <w:t>W</w:t>
      </w:r>
      <w:r w:rsidRPr="00AC01C9">
        <w:rPr>
          <w:i/>
          <w:vertAlign w:val="subscript"/>
        </w:rPr>
        <w:t>1</w:t>
      </w:r>
      <w:r>
        <w:rPr>
          <w:i/>
        </w:rPr>
        <w:t xml:space="preserve"> and </w:t>
      </w:r>
      <w:r w:rsidRPr="00AC01C9">
        <w:rPr>
          <w:b/>
          <w:i/>
        </w:rPr>
        <w:t>W</w:t>
      </w:r>
      <w:r w:rsidRPr="00AC01C9">
        <w:rPr>
          <w:i/>
          <w:vertAlign w:val="subscript"/>
        </w:rPr>
        <w:t>2</w:t>
      </w:r>
      <w:r>
        <w:rPr>
          <w:i/>
        </w:rPr>
        <w:t xml:space="preserve"> codebooks are used.</w:t>
      </w:r>
    </w:p>
    <w:p w14:paraId="18683F7B" w14:textId="7C599625" w:rsidR="00A2115E" w:rsidRPr="00A75577" w:rsidRDefault="00A2115E" w:rsidP="00B31254">
      <w:pPr>
        <w:pStyle w:val="maintext"/>
        <w:numPr>
          <w:ilvl w:val="0"/>
          <w:numId w:val="13"/>
        </w:numPr>
        <w:spacing w:after="120"/>
        <w:ind w:firstLineChars="0"/>
        <w:rPr>
          <w:i/>
        </w:rPr>
      </w:pPr>
      <w:r w:rsidRPr="00A75577">
        <w:rPr>
          <w:i/>
        </w:rPr>
        <w:t>When antenna turn-off is not configured, then pre</w:t>
      </w:r>
      <w:r w:rsidR="004465B5">
        <w:rPr>
          <w:i/>
        </w:rPr>
        <w:t>-</w:t>
      </w:r>
      <w:r w:rsidRPr="00A75577">
        <w:rPr>
          <w:i/>
        </w:rPr>
        <w:t>coder grouping is based on correlation. Otherwise, it is such that pre</w:t>
      </w:r>
      <w:r w:rsidR="004465B5">
        <w:rPr>
          <w:i/>
        </w:rPr>
        <w:t>-</w:t>
      </w:r>
      <w:r w:rsidRPr="00A75577">
        <w:rPr>
          <w:i/>
        </w:rPr>
        <w:t>coders hav</w:t>
      </w:r>
      <w:r>
        <w:rPr>
          <w:i/>
        </w:rPr>
        <w:t>ing</w:t>
      </w:r>
      <w:r w:rsidRPr="00A75577">
        <w:rPr>
          <w:i/>
        </w:rPr>
        <w:t xml:space="preserve"> zeros at the same entries form a group.</w:t>
      </w:r>
    </w:p>
    <w:p w14:paraId="72581FC2" w14:textId="7ABC3A4D" w:rsidR="00A2115E" w:rsidRPr="00A75577" w:rsidRDefault="00A2115E" w:rsidP="00B31254">
      <w:pPr>
        <w:pStyle w:val="maintext"/>
        <w:numPr>
          <w:ilvl w:val="0"/>
          <w:numId w:val="13"/>
        </w:numPr>
        <w:spacing w:after="120"/>
        <w:ind w:firstLineChars="0"/>
        <w:rPr>
          <w:i/>
        </w:rPr>
      </w:pPr>
      <w:r>
        <w:rPr>
          <w:i/>
        </w:rPr>
        <w:t>C</w:t>
      </w:r>
      <w:r w:rsidRPr="00A75577">
        <w:rPr>
          <w:i/>
        </w:rPr>
        <w:t xml:space="preserve">onsider </w:t>
      </w:r>
      <w:r>
        <w:rPr>
          <w:i/>
        </w:rPr>
        <w:t xml:space="preserve">both </w:t>
      </w:r>
      <w:r w:rsidRPr="00A75577">
        <w:rPr>
          <w:i/>
        </w:rPr>
        <w:t xml:space="preserve">LTE UL codebook for 2 and 4 ports, and NR Type I CSI codebook for 2, 4, and 8 ports, </w:t>
      </w:r>
      <w:r w:rsidR="00712D0F">
        <w:rPr>
          <w:i/>
        </w:rPr>
        <w:t>agreed</w:t>
      </w:r>
      <w:r w:rsidRPr="00A75577">
        <w:rPr>
          <w:i/>
        </w:rPr>
        <w:t xml:space="preserve"> in [</w:t>
      </w:r>
      <w:r w:rsidR="00712D0F">
        <w:rPr>
          <w:i/>
        </w:rPr>
        <w:t>3</w:t>
      </w:r>
      <w:r w:rsidRPr="00A75577">
        <w:rPr>
          <w:i/>
        </w:rPr>
        <w:t>].</w:t>
      </w:r>
    </w:p>
    <w:p w14:paraId="39C739A8" w14:textId="3D42AB79" w:rsidR="00A2115E" w:rsidRDefault="00A2115E" w:rsidP="00A2115E">
      <w:pPr>
        <w:spacing w:before="60" w:after="120" w:line="288" w:lineRule="auto"/>
        <w:jc w:val="both"/>
      </w:pPr>
      <w:r>
        <w:t xml:space="preserve">As </w:t>
      </w:r>
      <w:r w:rsidR="00712D0F">
        <w:t>agreed</w:t>
      </w:r>
      <w:r>
        <w:t xml:space="preserve"> in [</w:t>
      </w:r>
      <w:r w:rsidR="004465B5">
        <w:t>6</w:t>
      </w:r>
      <w:r>
        <w:t>], the DL codebook for Type I CSI reporting is parameterized by parameters such as number of ports in two dimensions,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t>, oversampling factors in two dimensions, (</w:t>
      </w:r>
      <w:r w:rsidRPr="00DB70D8">
        <w:rPr>
          <w:i/>
        </w:rPr>
        <w:t>O</w:t>
      </w:r>
      <w:r w:rsidRPr="00DB70D8">
        <w:rPr>
          <w:vertAlign w:val="subscript"/>
        </w:rPr>
        <w:t>1</w:t>
      </w:r>
      <w:r>
        <w:t xml:space="preserve">, </w:t>
      </w:r>
      <w:r w:rsidRPr="00DB70D8">
        <w:rPr>
          <w:i/>
        </w:rPr>
        <w:t>O</w:t>
      </w:r>
      <w:r w:rsidRPr="00DB70D8">
        <w:rPr>
          <w:vertAlign w:val="subscript"/>
        </w:rPr>
        <w:t>2</w:t>
      </w:r>
      <w:r>
        <w:t>), and number of beams (</w:t>
      </w:r>
      <w:r w:rsidRPr="00DB70D8">
        <w:rPr>
          <w:i/>
        </w:rPr>
        <w:t>L</w:t>
      </w:r>
      <w:r>
        <w:rPr>
          <w:i/>
        </w:rPr>
        <w:t xml:space="preserve"> = </w:t>
      </w:r>
      <w:r w:rsidRPr="00DB70D8">
        <w:t>1, 4</w:t>
      </w:r>
      <w:r>
        <w:t>) for beam group selection. For UL codebook,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rsidR="00825EA4">
        <w:t xml:space="preserve"> and</w:t>
      </w:r>
      <w:r>
        <w:t xml:space="preserve"> (</w:t>
      </w:r>
      <w:r w:rsidRPr="00DB70D8">
        <w:rPr>
          <w:i/>
        </w:rPr>
        <w:t>O</w:t>
      </w:r>
      <w:r w:rsidRPr="00DB70D8">
        <w:rPr>
          <w:vertAlign w:val="subscript"/>
        </w:rPr>
        <w:t>1</w:t>
      </w:r>
      <w:r>
        <w:t xml:space="preserve">, </w:t>
      </w:r>
      <w:r w:rsidRPr="00DB70D8">
        <w:rPr>
          <w:i/>
        </w:rPr>
        <w:t>O</w:t>
      </w:r>
      <w:r w:rsidRPr="00DB70D8">
        <w:rPr>
          <w:vertAlign w:val="subscript"/>
        </w:rPr>
        <w:t>2</w:t>
      </w:r>
      <w:r w:rsidR="00825EA4">
        <w:t>) can be</w:t>
      </w:r>
      <w:r>
        <w:t xml:space="preserve"> fixed. The number of beams (</w:t>
      </w:r>
      <w:r w:rsidRPr="00DB70D8">
        <w:rPr>
          <w:i/>
        </w:rPr>
        <w:t>L</w:t>
      </w:r>
      <w:r>
        <w:t xml:space="preserve"> value) can be configured to the UE.   </w:t>
      </w:r>
    </w:p>
    <w:p w14:paraId="2AFBB654" w14:textId="10AC22BB" w:rsidR="00A2115E" w:rsidRDefault="00A2115E" w:rsidP="00A2115E">
      <w:pPr>
        <w:spacing w:before="60" w:after="120" w:line="288" w:lineRule="auto"/>
        <w:rPr>
          <w:i/>
          <w:iCs/>
          <w:lang w:eastAsia="ko-KR"/>
        </w:rPr>
      </w:pPr>
      <w:r w:rsidRPr="00FA1D2B">
        <w:rPr>
          <w:b/>
          <w:i/>
          <w:iCs/>
          <w:u w:val="single"/>
          <w:lang w:eastAsia="ko-KR"/>
        </w:rPr>
        <w:t>Proposal</w:t>
      </w:r>
      <w:r>
        <w:rPr>
          <w:i/>
          <w:iCs/>
          <w:lang w:eastAsia="ko-KR"/>
        </w:rPr>
        <w:t xml:space="preserve">: If UL codebook is the same as DL codebook for Type I CSI, then </w:t>
      </w:r>
      <w:r w:rsidRPr="00DB70D8">
        <w:rPr>
          <w:i/>
          <w:iCs/>
          <w:lang w:eastAsia="ko-KR"/>
        </w:rPr>
        <w:t>codebook parameters,</w:t>
      </w:r>
      <w:r w:rsidRPr="00DB70D8">
        <w:rPr>
          <w:b/>
          <w:i/>
          <w:iCs/>
          <w:lang w:eastAsia="ko-KR"/>
        </w:rPr>
        <w:t xml:space="preserve"> </w:t>
      </w:r>
      <w:r w:rsidRPr="00DB70D8">
        <w:rPr>
          <w:i/>
        </w:rPr>
        <w:t>(N</w:t>
      </w:r>
      <w:r w:rsidRPr="00DB70D8">
        <w:rPr>
          <w:i/>
          <w:vertAlign w:val="subscript"/>
        </w:rPr>
        <w:t>1</w:t>
      </w:r>
      <w:r w:rsidRPr="00DB70D8">
        <w:rPr>
          <w:i/>
        </w:rPr>
        <w:t>, N</w:t>
      </w:r>
      <w:r w:rsidRPr="00DB70D8">
        <w:rPr>
          <w:i/>
          <w:vertAlign w:val="subscript"/>
        </w:rPr>
        <w:t>2</w:t>
      </w:r>
      <w:r w:rsidR="00825EA4">
        <w:rPr>
          <w:i/>
        </w:rPr>
        <w:t>) and</w:t>
      </w:r>
      <w:r w:rsidRPr="00DB70D8">
        <w:rPr>
          <w:i/>
        </w:rPr>
        <w:t xml:space="preserve"> (O</w:t>
      </w:r>
      <w:r w:rsidRPr="00DB70D8">
        <w:rPr>
          <w:i/>
          <w:vertAlign w:val="subscript"/>
        </w:rPr>
        <w:t>1</w:t>
      </w:r>
      <w:r w:rsidRPr="00DB70D8">
        <w:rPr>
          <w:i/>
        </w:rPr>
        <w:t>, O</w:t>
      </w:r>
      <w:r w:rsidRPr="00DB70D8">
        <w:rPr>
          <w:i/>
          <w:vertAlign w:val="subscript"/>
        </w:rPr>
        <w:t>2</w:t>
      </w:r>
      <w:r w:rsidRPr="00DB70D8">
        <w:rPr>
          <w:i/>
        </w:rPr>
        <w:t xml:space="preserve">) are fixed. The number of </w:t>
      </w:r>
      <w:r>
        <w:rPr>
          <w:i/>
        </w:rPr>
        <w:t>pre</w:t>
      </w:r>
      <w:r w:rsidR="004465B5">
        <w:rPr>
          <w:i/>
        </w:rPr>
        <w:t>-</w:t>
      </w:r>
      <w:r>
        <w:rPr>
          <w:i/>
        </w:rPr>
        <w:t>coders/</w:t>
      </w:r>
      <w:r w:rsidRPr="00DB70D8">
        <w:rPr>
          <w:i/>
        </w:rPr>
        <w:t>beams (L value)</w:t>
      </w:r>
      <w:r>
        <w:rPr>
          <w:i/>
        </w:rPr>
        <w:t xml:space="preserve"> that form a </w:t>
      </w:r>
      <w:r w:rsidRPr="000B2517">
        <w:rPr>
          <w:b/>
          <w:i/>
        </w:rPr>
        <w:t>W</w:t>
      </w:r>
      <w:r w:rsidRPr="000B2517">
        <w:rPr>
          <w:i/>
          <w:vertAlign w:val="subscript"/>
        </w:rPr>
        <w:t>1</w:t>
      </w:r>
      <w:r>
        <w:rPr>
          <w:i/>
        </w:rPr>
        <w:t xml:space="preserve"> group</w:t>
      </w:r>
      <w:r w:rsidRPr="00DB70D8">
        <w:rPr>
          <w:i/>
        </w:rPr>
        <w:t xml:space="preserve">, however, </w:t>
      </w:r>
      <w:r>
        <w:rPr>
          <w:i/>
        </w:rPr>
        <w:t>is</w:t>
      </w:r>
      <w:r w:rsidRPr="00DB70D8">
        <w:rPr>
          <w:i/>
        </w:rPr>
        <w:t xml:space="preserve"> configured to the UE.</w:t>
      </w:r>
      <w:r>
        <w:t xml:space="preserve">    </w:t>
      </w:r>
    </w:p>
    <w:p w14:paraId="70CC8C99" w14:textId="77777777" w:rsidR="00A2115E" w:rsidRPr="00FA1D2B" w:rsidRDefault="00A2115E" w:rsidP="00FA1D2B">
      <w:pPr>
        <w:rPr>
          <w:lang w:val="en-US"/>
        </w:rPr>
      </w:pPr>
    </w:p>
    <w:p w14:paraId="56C0E957" w14:textId="18E73F3B" w:rsidR="00503531" w:rsidRDefault="00503531" w:rsidP="00234252">
      <w:pPr>
        <w:pStyle w:val="Heading2"/>
        <w:numPr>
          <w:ilvl w:val="0"/>
          <w:numId w:val="1"/>
        </w:numPr>
        <w:rPr>
          <w:sz w:val="28"/>
          <w:lang w:val="en-US"/>
        </w:rPr>
      </w:pPr>
      <w:r>
        <w:rPr>
          <w:sz w:val="28"/>
          <w:lang w:val="en-US"/>
        </w:rPr>
        <w:t>TPMI-based UL transmission scheme for DL-UL reciprocity</w:t>
      </w:r>
    </w:p>
    <w:p w14:paraId="4FEE0198" w14:textId="6340EEB7" w:rsidR="00503531" w:rsidRDefault="00503531" w:rsidP="00503531">
      <w:pPr>
        <w:pStyle w:val="maintext"/>
        <w:ind w:firstLineChars="225" w:firstLine="450"/>
        <w:rPr>
          <w:lang w:val="en-US"/>
        </w:rPr>
      </w:pPr>
      <w:r>
        <w:rPr>
          <w:lang w:val="en-US"/>
        </w:rPr>
        <w:t xml:space="preserve">For Phase I NR, </w:t>
      </w:r>
      <w:r w:rsidR="000617E5">
        <w:rPr>
          <w:lang w:val="en-US"/>
        </w:rPr>
        <w:t xml:space="preserve">the UL transmission based on </w:t>
      </w:r>
      <w:r>
        <w:rPr>
          <w:lang w:val="en-US"/>
        </w:rPr>
        <w:t xml:space="preserve">DL-UL reciprocity seems to be </w:t>
      </w:r>
      <w:r w:rsidR="000617E5">
        <w:rPr>
          <w:lang w:val="en-US"/>
        </w:rPr>
        <w:t>an important</w:t>
      </w:r>
      <w:r>
        <w:rPr>
          <w:lang w:val="en-US"/>
        </w:rPr>
        <w:t xml:space="preserve"> </w:t>
      </w:r>
      <w:r w:rsidR="000617E5">
        <w:rPr>
          <w:lang w:val="en-US"/>
        </w:rPr>
        <w:t xml:space="preserve">use </w:t>
      </w:r>
      <w:r>
        <w:rPr>
          <w:lang w:val="en-US"/>
        </w:rPr>
        <w:t xml:space="preserve">case. When DL-UL channel reciprocity is feasible, some “assisting information” from the </w:t>
      </w:r>
      <w:proofErr w:type="spellStart"/>
      <w:r>
        <w:rPr>
          <w:lang w:val="en-US"/>
        </w:rPr>
        <w:t>gNB</w:t>
      </w:r>
      <w:proofErr w:type="spellEnd"/>
      <w:r>
        <w:rPr>
          <w:lang w:val="en-US"/>
        </w:rPr>
        <w:t xml:space="preserve"> is required to ensure that the UE can reliably select UL precoders from CSI-RS measurement for data transmission. Although it is possible for the </w:t>
      </w:r>
      <w:proofErr w:type="spellStart"/>
      <w:r>
        <w:rPr>
          <w:lang w:val="en-US"/>
        </w:rPr>
        <w:t>gNB</w:t>
      </w:r>
      <w:proofErr w:type="spellEnd"/>
      <w:r>
        <w:rPr>
          <w:lang w:val="en-US"/>
        </w:rPr>
        <w:t xml:space="preserve"> to explicitly signal UL interference profile to the UE via a DL channel (either DL data or DL control), the resulting overhead can be excessive. </w:t>
      </w:r>
    </w:p>
    <w:p w14:paraId="78C0027A" w14:textId="172C90C1" w:rsidR="00503531" w:rsidRDefault="00503531" w:rsidP="00503531">
      <w:pPr>
        <w:spacing w:before="60" w:after="60" w:line="288" w:lineRule="auto"/>
        <w:ind w:firstLine="446"/>
        <w:jc w:val="both"/>
        <w:rPr>
          <w:lang w:val="en-US"/>
        </w:rPr>
      </w:pPr>
      <w:r>
        <w:rPr>
          <w:lang w:val="en-US"/>
        </w:rPr>
        <w:t xml:space="preserve">Instead of explicitly signaling UL interference profile, a low-overhead </w:t>
      </w:r>
      <w:r>
        <w:rPr>
          <w:i/>
          <w:lang w:val="en-US"/>
        </w:rPr>
        <w:t xml:space="preserve">UE-centric </w:t>
      </w:r>
      <w:proofErr w:type="spellStart"/>
      <w:r>
        <w:rPr>
          <w:i/>
          <w:lang w:val="en-US"/>
        </w:rPr>
        <w:t>gNB</w:t>
      </w:r>
      <w:proofErr w:type="spellEnd"/>
      <w:r>
        <w:rPr>
          <w:i/>
          <w:lang w:val="en-US"/>
        </w:rPr>
        <w:t xml:space="preserve">-aided UL </w:t>
      </w:r>
      <w:proofErr w:type="spellStart"/>
      <w:r>
        <w:rPr>
          <w:i/>
          <w:lang w:val="en-US"/>
        </w:rPr>
        <w:t>precoder</w:t>
      </w:r>
      <w:proofErr w:type="spellEnd"/>
      <w:r>
        <w:rPr>
          <w:i/>
          <w:lang w:val="en-US"/>
        </w:rPr>
        <w:t xml:space="preserve"> selection</w:t>
      </w:r>
      <w:r>
        <w:rPr>
          <w:lang w:val="en-US"/>
        </w:rPr>
        <w:t xml:space="preserve"> can be performed as follows. First, the </w:t>
      </w:r>
      <w:proofErr w:type="spellStart"/>
      <w:r>
        <w:rPr>
          <w:lang w:val="en-US"/>
        </w:rPr>
        <w:t>gNB</w:t>
      </w:r>
      <w:proofErr w:type="spellEnd"/>
      <w:r>
        <w:rPr>
          <w:lang w:val="en-US"/>
        </w:rPr>
        <w:t xml:space="preserve"> signals a </w:t>
      </w:r>
      <w:r>
        <w:rPr>
          <w:i/>
          <w:lang w:val="en-US"/>
        </w:rPr>
        <w:t>single TPMI</w:t>
      </w:r>
      <w:r>
        <w:rPr>
          <w:lang w:val="en-US"/>
        </w:rPr>
        <w:t xml:space="preserve">, along with TRI, in the UL-related DCI to the UE. Rather than indicating a precoder from a codebook, this TPMI indicates a group (subset) of precoder from a codebook. </w:t>
      </w:r>
      <w:r w:rsidR="000617E5">
        <w:rPr>
          <w:lang w:val="en-US"/>
        </w:rPr>
        <w:t xml:space="preserve">As proposed in Section 5, the </w:t>
      </w:r>
      <m:oMath>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Pr>
          <w:lang w:val="en-US"/>
        </w:rPr>
        <w:t xml:space="preserve"> index can be used for this purpose. The gNB can select the precoder group according to the UL interference profile (measured from SRS). Using this mechanism, the </w:t>
      </w:r>
      <w:proofErr w:type="spellStart"/>
      <w:r>
        <w:rPr>
          <w:lang w:val="en-US"/>
        </w:rPr>
        <w:t>gNB</w:t>
      </w:r>
      <w:proofErr w:type="spellEnd"/>
      <w:r>
        <w:rPr>
          <w:lang w:val="en-US"/>
        </w:rPr>
        <w:t xml:space="preserve"> can limit the UL precoder search within a subset of precoders which minimizes UL interference. Second, upon receiving the TPMI from the </w:t>
      </w:r>
      <w:proofErr w:type="spellStart"/>
      <w:r>
        <w:rPr>
          <w:lang w:val="en-US"/>
        </w:rPr>
        <w:t>gNB</w:t>
      </w:r>
      <w:proofErr w:type="spellEnd"/>
      <w:r>
        <w:rPr>
          <w:lang w:val="en-US"/>
        </w:rPr>
        <w:t xml:space="preserve">, the UE can confine its precoder calculation within the subset of precoders indicated by the TPMI (hence </w:t>
      </w:r>
      <w:proofErr w:type="spellStart"/>
      <w:r>
        <w:rPr>
          <w:lang w:val="en-US"/>
        </w:rPr>
        <w:t>gNB</w:t>
      </w:r>
      <w:proofErr w:type="spellEnd"/>
      <w:r>
        <w:rPr>
          <w:lang w:val="en-US"/>
        </w:rPr>
        <w:t xml:space="preserve">-aided). By utilizing UL channel measurement from CSI-RS, the UE can either select a precoder from this subset or calculate a precoder from a linear combination of the precoders in the subset. This precoder calculation is transparent to the </w:t>
      </w:r>
      <w:proofErr w:type="spellStart"/>
      <w:r>
        <w:rPr>
          <w:lang w:val="en-US"/>
        </w:rPr>
        <w:t>gNB</w:t>
      </w:r>
      <w:proofErr w:type="spellEnd"/>
      <w:r>
        <w:rPr>
          <w:lang w:val="en-US"/>
        </w:rPr>
        <w:t xml:space="preserve"> (hence UE-centric) and can be frequency-selective. This scheme is illustrated in </w:t>
      </w:r>
      <w:r>
        <w:rPr>
          <w:lang w:val="en-US"/>
        </w:rPr>
        <w:fldChar w:fldCharType="begin"/>
      </w:r>
      <w:r>
        <w:rPr>
          <w:lang w:val="en-US"/>
        </w:rPr>
        <w:instrText xml:space="preserve"> REF _Ref481157814 \h </w:instrText>
      </w:r>
      <w:r>
        <w:rPr>
          <w:lang w:val="en-US"/>
        </w:rPr>
      </w:r>
      <w:r>
        <w:rPr>
          <w:lang w:val="en-US"/>
        </w:rPr>
        <w:fldChar w:fldCharType="separate"/>
      </w:r>
      <w:r w:rsidR="00E20F74">
        <w:t xml:space="preserve">Figure </w:t>
      </w:r>
      <w:r w:rsidR="00E20F74">
        <w:rPr>
          <w:noProof/>
        </w:rPr>
        <w:t>3</w:t>
      </w:r>
      <w:r>
        <w:rPr>
          <w:lang w:val="en-US"/>
        </w:rPr>
        <w:fldChar w:fldCharType="end"/>
      </w:r>
      <w:r>
        <w:rPr>
          <w:lang w:val="en-US"/>
        </w:rPr>
        <w:t xml:space="preserve">. As evident, this scheme is simply an extension of codebook/TPMI-based transmission scheme (the so-called “Scheme A”) and can be treated as a second TPMI configuration. </w:t>
      </w:r>
    </w:p>
    <w:p w14:paraId="36EE337E" w14:textId="77777777" w:rsidR="00527ED7" w:rsidRDefault="00527ED7" w:rsidP="00527ED7">
      <w:pPr>
        <w:spacing w:before="60" w:after="60" w:line="288" w:lineRule="auto"/>
        <w:jc w:val="center"/>
        <w:rPr>
          <w:lang w:val="en-US"/>
        </w:rPr>
      </w:pPr>
      <w:r>
        <w:object w:dxaOrig="6530" w:dyaOrig="4780" w14:anchorId="3AD5CB8A">
          <v:shape id="_x0000_i1027" type="#_x0000_t75" style="width:327.5pt;height:238.5pt" o:ole="">
            <v:imagedata r:id="rId12" o:title=""/>
          </v:shape>
          <o:OLEObject Type="Embed" ProgID="Visio.Drawing.11" ShapeID="_x0000_i1027" DrawAspect="Content" ObjectID="_1566640146" r:id="rId13"/>
        </w:object>
      </w:r>
    </w:p>
    <w:p w14:paraId="6B3A31C0" w14:textId="77777777" w:rsidR="00527ED7" w:rsidRDefault="00527ED7" w:rsidP="00527ED7">
      <w:pPr>
        <w:pStyle w:val="Caption"/>
        <w:jc w:val="center"/>
        <w:rPr>
          <w:b w:val="0"/>
          <w:lang w:val="en-US"/>
        </w:rPr>
      </w:pPr>
      <w:bookmarkStart w:id="7" w:name="_Ref481157814"/>
      <w:r>
        <w:t xml:space="preserve">Figure </w:t>
      </w:r>
      <w:r>
        <w:fldChar w:fldCharType="begin"/>
      </w:r>
      <w:r>
        <w:instrText xml:space="preserve"> SEQ Figure \* ARABIC </w:instrText>
      </w:r>
      <w:r>
        <w:fldChar w:fldCharType="separate"/>
      </w:r>
      <w:r>
        <w:rPr>
          <w:noProof/>
        </w:rPr>
        <w:t>3</w:t>
      </w:r>
      <w:r>
        <w:fldChar w:fldCharType="end"/>
      </w:r>
      <w:bookmarkEnd w:id="7"/>
      <w:r>
        <w:t xml:space="preserve"> </w:t>
      </w:r>
      <w:r>
        <w:rPr>
          <w:b w:val="0"/>
        </w:rPr>
        <w:t xml:space="preserve">Codebook/TPMI-based UL </w:t>
      </w:r>
      <w:proofErr w:type="spellStart"/>
      <w:proofErr w:type="gramStart"/>
      <w:r>
        <w:rPr>
          <w:b w:val="0"/>
        </w:rPr>
        <w:t>Tx</w:t>
      </w:r>
      <w:proofErr w:type="spellEnd"/>
      <w:proofErr w:type="gramEnd"/>
      <w:r>
        <w:rPr>
          <w:b w:val="0"/>
        </w:rPr>
        <w:t xml:space="preserve"> scheme: 2 configurations (without and with) DL-UL channel reciprocity</w:t>
      </w:r>
    </w:p>
    <w:p w14:paraId="792BEF7D" w14:textId="77777777" w:rsidR="00503531" w:rsidRDefault="00503531" w:rsidP="00503531">
      <w:pPr>
        <w:spacing w:before="60" w:after="60" w:line="288" w:lineRule="auto"/>
        <w:ind w:firstLine="446"/>
        <w:jc w:val="both"/>
        <w:rPr>
          <w:lang w:val="en-US"/>
        </w:rPr>
      </w:pPr>
      <w:r>
        <w:rPr>
          <w:lang w:val="en-US"/>
        </w:rPr>
        <w:t xml:space="preserve">To reap the maximum benefit from this scheme, the </w:t>
      </w:r>
      <w:proofErr w:type="spellStart"/>
      <w:r>
        <w:rPr>
          <w:lang w:val="en-US"/>
        </w:rPr>
        <w:t>gNB</w:t>
      </w:r>
      <w:proofErr w:type="spellEnd"/>
      <w:r>
        <w:rPr>
          <w:lang w:val="en-US"/>
        </w:rPr>
        <w:t xml:space="preserve"> can configure the UE with both non-</w:t>
      </w:r>
      <w:proofErr w:type="spellStart"/>
      <w:r>
        <w:rPr>
          <w:lang w:val="en-US"/>
        </w:rPr>
        <w:t>precoded</w:t>
      </w:r>
      <w:proofErr w:type="spellEnd"/>
      <w:r>
        <w:rPr>
          <w:lang w:val="en-US"/>
        </w:rPr>
        <w:t xml:space="preserve"> SRS and </w:t>
      </w:r>
      <w:proofErr w:type="spellStart"/>
      <w:r>
        <w:rPr>
          <w:lang w:val="en-US"/>
        </w:rPr>
        <w:t>precoded</w:t>
      </w:r>
      <w:proofErr w:type="spellEnd"/>
      <w:r>
        <w:rPr>
          <w:lang w:val="en-US"/>
        </w:rPr>
        <w:t xml:space="preserve"> SRS. By measuring non-</w:t>
      </w:r>
      <w:proofErr w:type="spellStart"/>
      <w:r>
        <w:rPr>
          <w:lang w:val="en-US"/>
        </w:rPr>
        <w:t>precoded</w:t>
      </w:r>
      <w:proofErr w:type="spellEnd"/>
      <w:r>
        <w:rPr>
          <w:lang w:val="en-US"/>
        </w:rPr>
        <w:t xml:space="preserve"> SRS, the </w:t>
      </w:r>
      <w:proofErr w:type="spellStart"/>
      <w:r>
        <w:rPr>
          <w:lang w:val="en-US"/>
        </w:rPr>
        <w:t>gNB</w:t>
      </w:r>
      <w:proofErr w:type="spellEnd"/>
      <w:r>
        <w:rPr>
          <w:lang w:val="en-US"/>
        </w:rPr>
        <w:t xml:space="preserve"> can determine the precoder group. Since the assigned precoder group is not expected to vary often, this non-</w:t>
      </w:r>
      <w:proofErr w:type="spellStart"/>
      <w:r>
        <w:rPr>
          <w:lang w:val="en-US"/>
        </w:rPr>
        <w:t>precoded</w:t>
      </w:r>
      <w:proofErr w:type="spellEnd"/>
      <w:r>
        <w:rPr>
          <w:lang w:val="en-US"/>
        </w:rPr>
        <w:t xml:space="preserve"> SRS can either be </w:t>
      </w:r>
      <w:proofErr w:type="spellStart"/>
      <w:r>
        <w:rPr>
          <w:lang w:val="en-US"/>
        </w:rPr>
        <w:t>aperiodically</w:t>
      </w:r>
      <w:proofErr w:type="spellEnd"/>
      <w:r>
        <w:rPr>
          <w:lang w:val="en-US"/>
        </w:rPr>
        <w:t xml:space="preserve"> triggered or configured with large periodicity. </w:t>
      </w:r>
      <w:proofErr w:type="spellStart"/>
      <w:r>
        <w:rPr>
          <w:lang w:val="en-US"/>
        </w:rPr>
        <w:t>Precoded</w:t>
      </w:r>
      <w:proofErr w:type="spellEnd"/>
      <w:r>
        <w:rPr>
          <w:lang w:val="en-US"/>
        </w:rPr>
        <w:t xml:space="preserve"> SRS, on the other hand, can be triggered by the </w:t>
      </w:r>
      <w:proofErr w:type="spellStart"/>
      <w:r>
        <w:rPr>
          <w:lang w:val="en-US"/>
        </w:rPr>
        <w:t>gNB</w:t>
      </w:r>
      <w:proofErr w:type="spellEnd"/>
      <w:r>
        <w:rPr>
          <w:lang w:val="en-US"/>
        </w:rPr>
        <w:t xml:space="preserve"> along with a precoder group assignment (along with TRI). This </w:t>
      </w:r>
      <w:proofErr w:type="spellStart"/>
      <w:r>
        <w:rPr>
          <w:lang w:val="en-US"/>
        </w:rPr>
        <w:t>precoded</w:t>
      </w:r>
      <w:proofErr w:type="spellEnd"/>
      <w:r>
        <w:rPr>
          <w:lang w:val="en-US"/>
        </w:rPr>
        <w:t xml:space="preserve"> SRS can be used by the </w:t>
      </w:r>
      <w:proofErr w:type="spellStart"/>
      <w:r>
        <w:rPr>
          <w:lang w:val="en-US"/>
        </w:rPr>
        <w:t>gNB</w:t>
      </w:r>
      <w:proofErr w:type="spellEnd"/>
      <w:r>
        <w:rPr>
          <w:lang w:val="en-US"/>
        </w:rPr>
        <w:t xml:space="preserve"> to determine the MCS that is used for UL data assignment.   </w:t>
      </w:r>
    </w:p>
    <w:p w14:paraId="258F8147" w14:textId="77777777" w:rsidR="00503531" w:rsidRDefault="00503531" w:rsidP="00503531">
      <w:pPr>
        <w:spacing w:before="60" w:after="60" w:line="288" w:lineRule="auto"/>
        <w:ind w:firstLine="448"/>
        <w:jc w:val="both"/>
        <w:rPr>
          <w:lang w:val="en-US" w:eastAsia="ko-KR"/>
        </w:rPr>
      </w:pPr>
    </w:p>
    <w:p w14:paraId="62412CFD" w14:textId="193DE30A" w:rsidR="00503531" w:rsidRPr="000617E5" w:rsidRDefault="00503531" w:rsidP="000617E5">
      <w:pPr>
        <w:spacing w:before="60" w:after="60" w:line="288" w:lineRule="auto"/>
        <w:jc w:val="both"/>
        <w:rPr>
          <w:b/>
          <w:lang w:val="en-US"/>
        </w:rPr>
      </w:pPr>
      <w:r>
        <w:rPr>
          <w:b/>
          <w:u w:val="single"/>
          <w:lang w:val="en-US"/>
        </w:rPr>
        <w:t>Proposal</w:t>
      </w:r>
      <w:r>
        <w:rPr>
          <w:b/>
          <w:lang w:val="en-US"/>
        </w:rPr>
        <w:t xml:space="preserve">: </w:t>
      </w:r>
      <w:r w:rsidRPr="000617E5">
        <w:rPr>
          <w:i/>
          <w:lang w:val="en-US"/>
        </w:rPr>
        <w:t xml:space="preserve">Support the following extension of codebook/TPMI-based transmission scheme via two configurations of TPMI: </w:t>
      </w:r>
    </w:p>
    <w:p w14:paraId="7967D720" w14:textId="77777777" w:rsidR="00503531" w:rsidRPr="000617E5" w:rsidRDefault="00503531" w:rsidP="00B31254">
      <w:pPr>
        <w:pStyle w:val="ListParagraph"/>
        <w:numPr>
          <w:ilvl w:val="0"/>
          <w:numId w:val="22"/>
        </w:numPr>
        <w:spacing w:before="60" w:after="60" w:line="288" w:lineRule="auto"/>
        <w:ind w:leftChars="0"/>
        <w:jc w:val="both"/>
        <w:rPr>
          <w:b/>
          <w:lang w:val="en-US"/>
        </w:rPr>
      </w:pPr>
      <w:proofErr w:type="spellStart"/>
      <w:r w:rsidRPr="000617E5">
        <w:rPr>
          <w:i/>
          <w:lang w:val="en-US"/>
        </w:rPr>
        <w:t>Config</w:t>
      </w:r>
      <w:proofErr w:type="spellEnd"/>
      <w:r w:rsidRPr="000617E5">
        <w:rPr>
          <w:i/>
          <w:lang w:val="en-US"/>
        </w:rPr>
        <w:t xml:space="preserve"> 1: TPMI+TRI indicates precoder from a codebook</w:t>
      </w:r>
    </w:p>
    <w:p w14:paraId="1FB4D213"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“LTE-like” transmission scheme</w:t>
      </w:r>
    </w:p>
    <w:p w14:paraId="76EBE8A8" w14:textId="77777777" w:rsidR="00503531" w:rsidRPr="000617E5" w:rsidRDefault="00503531" w:rsidP="00B31254">
      <w:pPr>
        <w:pStyle w:val="ListParagraph"/>
        <w:numPr>
          <w:ilvl w:val="0"/>
          <w:numId w:val="22"/>
        </w:numPr>
        <w:spacing w:before="60" w:after="60" w:line="288" w:lineRule="auto"/>
        <w:ind w:leftChars="0"/>
        <w:jc w:val="both"/>
        <w:rPr>
          <w:i/>
          <w:lang w:val="en-US"/>
        </w:rPr>
      </w:pPr>
      <w:proofErr w:type="spellStart"/>
      <w:r w:rsidRPr="000617E5">
        <w:rPr>
          <w:i/>
          <w:lang w:val="en-US"/>
        </w:rPr>
        <w:t>Config</w:t>
      </w:r>
      <w:proofErr w:type="spellEnd"/>
      <w:r w:rsidRPr="000617E5">
        <w:rPr>
          <w:i/>
          <w:lang w:val="en-US"/>
        </w:rPr>
        <w:t xml:space="preserve"> 2 (extension): TPMI+TRI indicates precoder subset/group from a codebook </w:t>
      </w:r>
    </w:p>
    <w:p w14:paraId="5349795B"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 xml:space="preserve">Can be used with CSI-RS when DL-UL channel reciprocity is feasible </w:t>
      </w:r>
    </w:p>
    <w:p w14:paraId="44C16981"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4AF964B6" w14:textId="77777777" w:rsidR="00503531" w:rsidRPr="000617E5" w:rsidRDefault="00503531" w:rsidP="00B31254">
      <w:pPr>
        <w:pStyle w:val="ListParagraph"/>
        <w:numPr>
          <w:ilvl w:val="1"/>
          <w:numId w:val="22"/>
        </w:numPr>
        <w:spacing w:before="60" w:after="60" w:line="288" w:lineRule="auto"/>
        <w:ind w:leftChars="0"/>
        <w:jc w:val="both"/>
        <w:rPr>
          <w:i/>
          <w:lang w:val="en-US"/>
        </w:rPr>
      </w:pPr>
      <w:r w:rsidRPr="000617E5">
        <w:rPr>
          <w:i/>
          <w:lang w:val="en-US"/>
        </w:rPr>
        <w:t>Maximum gain is attained with the use of “hybrid” SRS, i.e. a concurrent use of non-</w:t>
      </w:r>
      <w:proofErr w:type="spellStart"/>
      <w:r w:rsidRPr="000617E5">
        <w:rPr>
          <w:i/>
          <w:lang w:val="en-US"/>
        </w:rPr>
        <w:t>precoded</w:t>
      </w:r>
      <w:proofErr w:type="spellEnd"/>
      <w:r w:rsidRPr="000617E5">
        <w:rPr>
          <w:i/>
          <w:lang w:val="en-US"/>
        </w:rPr>
        <w:t xml:space="preserve"> SRS and </w:t>
      </w:r>
      <w:proofErr w:type="spellStart"/>
      <w:r w:rsidRPr="000617E5">
        <w:rPr>
          <w:i/>
          <w:lang w:val="en-US"/>
        </w:rPr>
        <w:t>precoded</w:t>
      </w:r>
      <w:proofErr w:type="spellEnd"/>
      <w:r w:rsidRPr="000617E5">
        <w:rPr>
          <w:i/>
          <w:lang w:val="en-US"/>
        </w:rPr>
        <w:t xml:space="preserve"> SRS (analogous to hybrid CSI-RS)</w:t>
      </w:r>
    </w:p>
    <w:p w14:paraId="5C9974B4" w14:textId="77777777" w:rsidR="00503531" w:rsidRDefault="00503531" w:rsidP="00503531">
      <w:pPr>
        <w:spacing w:before="60" w:after="60" w:line="288" w:lineRule="auto"/>
        <w:ind w:firstLine="448"/>
        <w:jc w:val="both"/>
        <w:rPr>
          <w:lang w:val="en-US" w:eastAsia="ko-KR"/>
        </w:rPr>
      </w:pPr>
    </w:p>
    <w:p w14:paraId="061F0E63"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0779C24" w14:textId="77777777" w:rsidR="00503531" w:rsidRDefault="00503531" w:rsidP="00B31254">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7AE096A" w14:textId="77777777" w:rsidR="00503531" w:rsidRDefault="00503531" w:rsidP="00503531">
      <w:pPr>
        <w:spacing w:before="60" w:after="60" w:line="288" w:lineRule="auto"/>
        <w:ind w:firstLine="450"/>
        <w:jc w:val="both"/>
        <w:rPr>
          <w:lang w:val="en-US"/>
        </w:rPr>
      </w:pPr>
      <w:r>
        <w:rPr>
          <w:lang w:val="en-US"/>
        </w:rPr>
        <w:t xml:space="preserve">Considered together with UL frequency selective precoding, when a UE is (semi-statically) configured with multiple TPMIs, they can be used either for frequency-selective precoding or UL interference indication. Likewise, when a UE is (semi-statically) configured with a single TPMI, it can be used either for frequency-non-selective precoding or precoder group indication. In this case, a one-bit indicator can be added in the DCI to differentiate the two functionalities and facilitate dynamic switching between them. If dynamic switching is not needed, this one-bit indicator can be included as an RRC parameter (hence semi-static configuration) for UL transmission. This is subject to further study.   </w:t>
      </w:r>
    </w:p>
    <w:p w14:paraId="221E97A1" w14:textId="77777777" w:rsidR="00503531" w:rsidRDefault="00503531" w:rsidP="00503531">
      <w:pPr>
        <w:pStyle w:val="maintext"/>
        <w:ind w:firstLineChars="0" w:firstLine="0"/>
        <w:rPr>
          <w:i/>
          <w:lang w:val="en-US"/>
        </w:rPr>
      </w:pPr>
      <w:r>
        <w:rPr>
          <w:b/>
          <w:u w:val="single"/>
          <w:lang w:val="en-US"/>
        </w:rPr>
        <w:t>Proposal</w:t>
      </w:r>
      <w:r>
        <w:rPr>
          <w:i/>
          <w:lang w:val="en-US"/>
        </w:rPr>
        <w:t>: Two different TPMI functionalities (e.g. precoder and precoder group indication for single TPMI, “subband” precoder and “subband” UL interference profile for multiple TPMIs) can be either semi-statically (RRC) or dynamically (DCI) switched</w:t>
      </w:r>
    </w:p>
    <w:p w14:paraId="20E8AAA5" w14:textId="0AABC080" w:rsidR="00503531" w:rsidRPr="00503531" w:rsidRDefault="00503531" w:rsidP="00B31254">
      <w:pPr>
        <w:pStyle w:val="ListParagraph"/>
        <w:numPr>
          <w:ilvl w:val="0"/>
          <w:numId w:val="20"/>
        </w:numPr>
        <w:ind w:leftChars="0"/>
        <w:rPr>
          <w:lang w:val="en-US" w:eastAsia="ko-KR"/>
        </w:rPr>
      </w:pPr>
      <w:r w:rsidRPr="00503531">
        <w:rPr>
          <w:i/>
          <w:lang w:val="en-US"/>
        </w:rPr>
        <w:t>FFS between RRC and DCI</w:t>
      </w:r>
    </w:p>
    <w:p w14:paraId="10C440C7" w14:textId="34F1E346" w:rsidR="00CB01E4" w:rsidRPr="005109AE" w:rsidRDefault="00CB01E4" w:rsidP="00B31254">
      <w:pPr>
        <w:pStyle w:val="Heading1"/>
        <w:numPr>
          <w:ilvl w:val="0"/>
          <w:numId w:val="21"/>
        </w:numPr>
        <w:rPr>
          <w:lang w:val="en-US"/>
        </w:rPr>
      </w:pPr>
      <w:r w:rsidRPr="005109AE">
        <w:rPr>
          <w:lang w:val="en-US"/>
        </w:rPr>
        <w:lastRenderedPageBreak/>
        <w:t>Simulation results</w:t>
      </w:r>
    </w:p>
    <w:p w14:paraId="5D64F61D" w14:textId="7BFE6F4E" w:rsidR="000401D8" w:rsidRDefault="00AE26A3" w:rsidP="00067C62">
      <w:pPr>
        <w:spacing w:before="60" w:after="60" w:line="288" w:lineRule="auto"/>
        <w:ind w:firstLine="450"/>
        <w:jc w:val="both"/>
      </w:pPr>
      <w:r>
        <w:rPr>
          <w:lang w:val="en-US"/>
        </w:rPr>
        <w:t>In Evaluation 1</w:t>
      </w:r>
      <w:r w:rsidR="00700E6C">
        <w:rPr>
          <w:lang w:val="en-US"/>
        </w:rPr>
        <w:t>, the</w:t>
      </w:r>
      <w:r w:rsidR="00067C62">
        <w:rPr>
          <w:lang w:val="en-US"/>
        </w:rPr>
        <w:t xml:space="preserve"> system-level evaluation of the </w:t>
      </w:r>
      <w:r w:rsidR="005109AE">
        <w:rPr>
          <w:lang w:val="en-US"/>
        </w:rPr>
        <w:t>frequency-selective precoding</w:t>
      </w:r>
      <w:r w:rsidR="00067C62">
        <w:rPr>
          <w:lang w:val="en-US"/>
        </w:rPr>
        <w:t xml:space="preserve"> scheme outlined in </w:t>
      </w:r>
      <w:r w:rsidR="005109AE">
        <w:rPr>
          <w:lang w:val="en-US"/>
        </w:rPr>
        <w:t>Section 3</w:t>
      </w:r>
      <w:r w:rsidR="00067C62">
        <w:rPr>
          <w:lang w:val="en-US"/>
        </w:rPr>
        <w:t xml:space="preserve"> is provided. </w:t>
      </w:r>
      <w:r w:rsidR="00067C62">
        <w:t>T</w:t>
      </w:r>
      <w:r w:rsidR="00067C62" w:rsidRPr="004E5326">
        <w:t xml:space="preserve">he </w:t>
      </w:r>
      <w:r w:rsidR="00067C62" w:rsidRPr="004E5326">
        <w:rPr>
          <w:rFonts w:hint="eastAsia"/>
        </w:rPr>
        <w:t xml:space="preserve">non-full-buffer system-level </w:t>
      </w:r>
      <w:r w:rsidR="00067C62" w:rsidRPr="004E5326">
        <w:t>e</w:t>
      </w:r>
      <w:r w:rsidR="00067C62" w:rsidRPr="004E5326">
        <w:rPr>
          <w:rFonts w:hint="eastAsia"/>
        </w:rPr>
        <w:t xml:space="preserve">valuation </w:t>
      </w:r>
      <w:r w:rsidR="00067C62" w:rsidRPr="004E5326">
        <w:t>is</w:t>
      </w:r>
      <w:r w:rsidR="00067C62" w:rsidRPr="004E5326">
        <w:rPr>
          <w:rFonts w:hint="eastAsia"/>
        </w:rPr>
        <w:t xml:space="preserve"> </w:t>
      </w:r>
      <w:r w:rsidR="00067C62" w:rsidRPr="004E5326">
        <w:t xml:space="preserve">carried out </w:t>
      </w:r>
      <w:r w:rsidR="00067C62" w:rsidRPr="004E5326">
        <w:rPr>
          <w:rFonts w:hint="eastAsia"/>
        </w:rPr>
        <w:t xml:space="preserve">in </w:t>
      </w:r>
      <w:r w:rsidR="008F5048">
        <w:t>medium (5</w:t>
      </w:r>
      <w:r w:rsidR="005109AE">
        <w:t>0%</w:t>
      </w:r>
      <w:r w:rsidR="00067C62" w:rsidRPr="004E5326">
        <w:t xml:space="preserve"> targ</w:t>
      </w:r>
      <w:r w:rsidR="00067C62">
        <w:t xml:space="preserve">et RU) traffic loading scenario and SU-MIMO with proportional fair scheduling is considered. The results are provided for 4 and 8 antenna ports </w:t>
      </w:r>
      <w:r w:rsidR="00067C62" w:rsidRPr="004E5326">
        <w:t>with</w:t>
      </w:r>
      <w:r w:rsidR="00067C62" w:rsidRPr="004E5326">
        <w:rPr>
          <w:rFonts w:hint="eastAsia"/>
        </w:rPr>
        <w:t xml:space="preserve"> </w:t>
      </w:r>
      <w:r w:rsidR="00067C62" w:rsidRPr="004E5326">
        <w:t>(</w:t>
      </w:r>
      <w:r w:rsidR="00067C62" w:rsidRPr="00BE3AF2">
        <w:rPr>
          <w:i/>
        </w:rPr>
        <w:t>N</w:t>
      </w:r>
      <w:r w:rsidR="00067C62" w:rsidRPr="00BE3AF2">
        <w:rPr>
          <w:vertAlign w:val="subscript"/>
        </w:rPr>
        <w:t>1</w:t>
      </w:r>
      <w:r w:rsidR="00067C62" w:rsidRPr="004E5326">
        <w:t>,</w:t>
      </w:r>
      <w:r w:rsidR="00067C62">
        <w:t xml:space="preserve"> </w:t>
      </w:r>
      <w:r w:rsidR="00067C62" w:rsidRPr="00BE3AF2">
        <w:rPr>
          <w:i/>
        </w:rPr>
        <w:t>N</w:t>
      </w:r>
      <w:r w:rsidR="00067C62" w:rsidRPr="00BE3AF2">
        <w:rPr>
          <w:vertAlign w:val="subscript"/>
        </w:rPr>
        <w:t>2</w:t>
      </w:r>
      <w:r w:rsidR="00067C62" w:rsidRPr="004E5326">
        <w:rPr>
          <w:rFonts w:hint="eastAsia"/>
        </w:rPr>
        <w:t>) = (</w:t>
      </w:r>
      <w:r w:rsidR="00067C62">
        <w:t>2, 1</w:t>
      </w:r>
      <w:r w:rsidR="00067C62" w:rsidRPr="004E5326">
        <w:t>)</w:t>
      </w:r>
      <w:r w:rsidR="00067C62">
        <w:t xml:space="preserve"> and (4, 1) at the UE where</w:t>
      </w:r>
      <w:r w:rsidR="00067C62" w:rsidRPr="004E5326">
        <w:t xml:space="preserve"> we assume that the first dimension is horizontal and the second dimension is vertical</w:t>
      </w:r>
      <w:r w:rsidR="00067C62">
        <w:t xml:space="preserve">. The relevant simulation parameters are enlisted in </w:t>
      </w:r>
      <w:r w:rsidR="00067C62">
        <w:fldChar w:fldCharType="begin"/>
      </w:r>
      <w:r w:rsidR="00067C62">
        <w:instrText xml:space="preserve"> REF _Ref458526226 \h </w:instrText>
      </w:r>
      <w:r w:rsidR="00067C62">
        <w:fldChar w:fldCharType="separate"/>
      </w:r>
      <w:r w:rsidR="00E20F74">
        <w:t xml:space="preserve">Table </w:t>
      </w:r>
      <w:r w:rsidR="00E20F74">
        <w:rPr>
          <w:noProof/>
        </w:rPr>
        <w:t>1</w:t>
      </w:r>
      <w:r w:rsidR="00067C62">
        <w:fldChar w:fldCharType="end"/>
      </w:r>
      <w:r w:rsidR="00067C62">
        <w:t xml:space="preserve">. For 4-Tx, LTE UL 4-Tx codebook </w:t>
      </w:r>
      <w:r w:rsidR="00F93402">
        <w:t>and</w:t>
      </w:r>
      <w:r w:rsidR="00067C62">
        <w:t xml:space="preserve"> </w:t>
      </w:r>
      <w:r w:rsidR="008F5048">
        <w:t>NR</w:t>
      </w:r>
      <w:r w:rsidR="00067C62">
        <w:t xml:space="preserve"> DL</w:t>
      </w:r>
      <w:r w:rsidR="00F93402">
        <w:t xml:space="preserve"> </w:t>
      </w:r>
      <w:r w:rsidR="008F5048">
        <w:t xml:space="preserve">Type I </w:t>
      </w:r>
      <w:r w:rsidR="00F93402">
        <w:t xml:space="preserve">4-Tx codebook </w:t>
      </w:r>
      <w:r w:rsidR="008F5048">
        <w:t xml:space="preserve">with </w:t>
      </w:r>
      <w:r w:rsidR="008F5048" w:rsidRPr="008F5048">
        <w:rPr>
          <w:i/>
        </w:rPr>
        <w:t>L</w:t>
      </w:r>
      <w:r w:rsidR="008F5048">
        <w:t xml:space="preserve"> = 1 (agreed in RAN1#89) </w:t>
      </w:r>
      <w:r w:rsidR="00F93402">
        <w:t>are considered</w:t>
      </w:r>
      <w:r w:rsidR="00067C62">
        <w:t xml:space="preserve">. For 8-Tx, </w:t>
      </w:r>
      <w:r w:rsidR="008F5048">
        <w:t xml:space="preserve">NR DL Type I 8-Tx codebook with </w:t>
      </w:r>
      <w:r w:rsidR="008F5048" w:rsidRPr="008F5048">
        <w:rPr>
          <w:i/>
        </w:rPr>
        <w:t>L</w:t>
      </w:r>
      <w:r w:rsidR="008F5048">
        <w:t xml:space="preserve"> = 1 (agreed in RAN1#89)</w:t>
      </w:r>
      <w:r w:rsidR="00F93402">
        <w:t xml:space="preserve"> is considered</w:t>
      </w:r>
      <w:r w:rsidR="00067C62">
        <w:t>.</w:t>
      </w:r>
      <w:r w:rsidR="00F93402">
        <w:t xml:space="preserve"> The performance </w:t>
      </w:r>
      <w:r w:rsidR="00F25AAD">
        <w:t xml:space="preserve">gain vs. overhead (total number of TPMI bits) </w:t>
      </w:r>
      <w:r w:rsidR="00F93402">
        <w:t>of frequency-selective pre-coding with different values of the number (</w:t>
      </w:r>
      <w:r w:rsidR="00F93402" w:rsidRPr="00F93402">
        <w:rPr>
          <w:i/>
        </w:rPr>
        <w:t>N</w:t>
      </w:r>
      <w:r w:rsidR="00F93402">
        <w:t>) of TPMIs is provided</w:t>
      </w:r>
      <w:r w:rsidR="000B740C">
        <w:t>, where the overhead is calculated for rank 1 TPMI since it requires the most number of bits</w:t>
      </w:r>
      <w:r w:rsidR="00F93402">
        <w:t xml:space="preserve">. </w:t>
      </w:r>
      <w:r w:rsidR="00067C62">
        <w:t xml:space="preserve">The simulation results are shown in </w:t>
      </w:r>
      <w:r w:rsidR="00067C62">
        <w:fldChar w:fldCharType="begin"/>
      </w:r>
      <w:r w:rsidR="00067C62">
        <w:instrText xml:space="preserve"> REF _Ref481707478 \h </w:instrText>
      </w:r>
      <w:r w:rsidR="00067C62">
        <w:fldChar w:fldCharType="separate"/>
      </w:r>
      <w:r w:rsidR="00E20F74">
        <w:t xml:space="preserve">Figure </w:t>
      </w:r>
      <w:r w:rsidR="00E20F74">
        <w:rPr>
          <w:noProof/>
        </w:rPr>
        <w:t>4</w:t>
      </w:r>
      <w:r w:rsidR="00067C62">
        <w:fldChar w:fldCharType="end"/>
      </w:r>
      <w:r w:rsidR="00F93402">
        <w:t xml:space="preserve"> </w:t>
      </w:r>
      <w:r w:rsidR="008F5048">
        <w:t>through</w:t>
      </w:r>
      <w:r w:rsidR="00067C62">
        <w:t xml:space="preserve"> </w:t>
      </w:r>
      <w:r w:rsidR="00E20F74">
        <w:fldChar w:fldCharType="begin"/>
      </w:r>
      <w:r w:rsidR="00E20F74">
        <w:instrText xml:space="preserve"> REF _Ref490062623 \h </w:instrText>
      </w:r>
      <w:r w:rsidR="00E20F74">
        <w:fldChar w:fldCharType="separate"/>
      </w:r>
      <w:r w:rsidR="00E20F74">
        <w:t xml:space="preserve">Figure </w:t>
      </w:r>
      <w:r w:rsidR="00E20F74">
        <w:rPr>
          <w:noProof/>
        </w:rPr>
        <w:t>7</w:t>
      </w:r>
      <w:r w:rsidR="00E20F74">
        <w:fldChar w:fldCharType="end"/>
      </w:r>
      <w:r w:rsidR="00E20F74">
        <w:t xml:space="preserve"> </w:t>
      </w:r>
      <w:r w:rsidR="00067C62">
        <w:t xml:space="preserve">for </w:t>
      </w:r>
      <w:proofErr w:type="gramStart"/>
      <w:r w:rsidR="00067C62">
        <w:t>4-Tx</w:t>
      </w:r>
      <w:proofErr w:type="gramEnd"/>
      <w:r w:rsidR="00067C62">
        <w:t xml:space="preserve"> and in</w:t>
      </w:r>
      <w:r w:rsidR="008F5048">
        <w:t xml:space="preserve"> </w:t>
      </w:r>
      <w:r w:rsidR="008F5048">
        <w:fldChar w:fldCharType="begin"/>
      </w:r>
      <w:r w:rsidR="008F5048">
        <w:instrText xml:space="preserve"> REF _Ref485119830 \h </w:instrText>
      </w:r>
      <w:r w:rsidR="008F5048">
        <w:fldChar w:fldCharType="separate"/>
      </w:r>
      <w:r w:rsidR="00E20F74">
        <w:t xml:space="preserve">Figure </w:t>
      </w:r>
      <w:r w:rsidR="00E20F74">
        <w:rPr>
          <w:noProof/>
        </w:rPr>
        <w:t>8</w:t>
      </w:r>
      <w:r w:rsidR="008F5048">
        <w:fldChar w:fldCharType="end"/>
      </w:r>
      <w:r w:rsidR="008F5048">
        <w:t xml:space="preserve"> through </w:t>
      </w:r>
      <w:r w:rsidR="008F5048">
        <w:fldChar w:fldCharType="begin"/>
      </w:r>
      <w:r w:rsidR="008F5048">
        <w:instrText xml:space="preserve"> REF _Ref485119835 \h </w:instrText>
      </w:r>
      <w:r w:rsidR="008F5048">
        <w:fldChar w:fldCharType="end"/>
      </w:r>
      <w:r w:rsidR="00E20F74">
        <w:fldChar w:fldCharType="begin"/>
      </w:r>
      <w:r w:rsidR="00E20F74">
        <w:instrText xml:space="preserve"> REF _Ref490062654 \h </w:instrText>
      </w:r>
      <w:r w:rsidR="00E20F74">
        <w:fldChar w:fldCharType="separate"/>
      </w:r>
      <w:r w:rsidR="00E20F74">
        <w:t xml:space="preserve">Figure </w:t>
      </w:r>
      <w:r w:rsidR="00E20F74">
        <w:rPr>
          <w:noProof/>
        </w:rPr>
        <w:t>9</w:t>
      </w:r>
      <w:r w:rsidR="00E20F74">
        <w:fldChar w:fldCharType="end"/>
      </w:r>
      <w:r w:rsidR="00E20F74">
        <w:t xml:space="preserve"> </w:t>
      </w:r>
      <w:r w:rsidR="00F93402">
        <w:t xml:space="preserve">for </w:t>
      </w:r>
      <w:r w:rsidR="00067C62">
        <w:t>8-Tx.</w:t>
      </w:r>
      <w:r w:rsidR="00F93402">
        <w:t xml:space="preserve"> As reference, LTE-like WB TPMI (</w:t>
      </w:r>
      <w:r w:rsidR="00F93402" w:rsidRPr="00F93402">
        <w:rPr>
          <w:i/>
        </w:rPr>
        <w:t>N</w:t>
      </w:r>
      <w:r w:rsidR="00F93402">
        <w:t xml:space="preserve"> = 1) is considered.</w:t>
      </w:r>
      <w:r w:rsidR="00FD4D7B">
        <w:t xml:space="preserve"> The detailed simulation results are provided in </w:t>
      </w:r>
      <w:r w:rsidR="00FD4D7B">
        <w:fldChar w:fldCharType="begin"/>
      </w:r>
      <w:r w:rsidR="00FD4D7B">
        <w:instrText xml:space="preserve"> REF _Ref485122047 \h </w:instrText>
      </w:r>
      <w:r w:rsidR="00FD4D7B">
        <w:fldChar w:fldCharType="separate"/>
      </w:r>
      <w:r w:rsidR="00E20F74">
        <w:t xml:space="preserve">Table </w:t>
      </w:r>
      <w:r w:rsidR="00E20F74">
        <w:rPr>
          <w:noProof/>
        </w:rPr>
        <w:t>2</w:t>
      </w:r>
      <w:r w:rsidR="00FD4D7B">
        <w:fldChar w:fldCharType="end"/>
      </w:r>
      <w:r w:rsidR="00FD4D7B">
        <w:t xml:space="preserve"> in the appendix.</w:t>
      </w:r>
      <w:r w:rsidR="00067C62">
        <w:t xml:space="preserve"> </w:t>
      </w:r>
    </w:p>
    <w:p w14:paraId="6B1FC009" w14:textId="44782C7D" w:rsidR="00AE7722" w:rsidRDefault="00AE7722" w:rsidP="00067C62">
      <w:pPr>
        <w:spacing w:before="60" w:after="60" w:line="288" w:lineRule="auto"/>
        <w:ind w:firstLine="450"/>
        <w:jc w:val="both"/>
      </w:pPr>
      <w:r>
        <w:t xml:space="preserve">Also, to compare 4-Tx and 8-Tx in UL, the performance gain of </w:t>
      </w:r>
      <w:proofErr w:type="gramStart"/>
      <w:r>
        <w:t>8-Tx</w:t>
      </w:r>
      <w:proofErr w:type="gramEnd"/>
      <w:r>
        <w:t xml:space="preserve"> over 4-Tx is shown </w:t>
      </w:r>
      <w:r>
        <w:fldChar w:fldCharType="begin"/>
      </w:r>
      <w:r>
        <w:instrText xml:space="preserve"> REF _Ref482822628 \h </w:instrText>
      </w:r>
      <w:r>
        <w:fldChar w:fldCharType="separate"/>
      </w:r>
      <w:r w:rsidR="00E20F74">
        <w:t xml:space="preserve">Figure </w:t>
      </w:r>
      <w:r w:rsidR="00E20F74">
        <w:rPr>
          <w:noProof/>
        </w:rPr>
        <w:t>10</w:t>
      </w:r>
      <w:r>
        <w:fldChar w:fldCharType="end"/>
      </w:r>
      <w:r>
        <w:t xml:space="preserve">, where </w:t>
      </w:r>
      <w:r w:rsidR="008F5048">
        <w:t xml:space="preserve">NR DL Type I codebook with </w:t>
      </w:r>
      <w:r w:rsidR="008F5048" w:rsidRPr="008F5048">
        <w:rPr>
          <w:i/>
        </w:rPr>
        <w:t>L</w:t>
      </w:r>
      <w:r w:rsidR="008F5048">
        <w:t xml:space="preserve"> = 1 (agreed in RAN1#89) is considered.</w:t>
      </w:r>
    </w:p>
    <w:p w14:paraId="463D598B" w14:textId="77777777" w:rsidR="00067C62" w:rsidRDefault="00067C62" w:rsidP="00067C62">
      <w:pPr>
        <w:spacing w:before="60" w:after="60" w:line="288" w:lineRule="auto"/>
        <w:jc w:val="both"/>
        <w:rPr>
          <w:i/>
          <w:lang w:val="en-US"/>
        </w:rPr>
      </w:pPr>
      <w:r>
        <w:rPr>
          <w:b/>
          <w:u w:val="single"/>
          <w:lang w:val="en-US"/>
        </w:rPr>
        <w:t>Observation</w:t>
      </w:r>
      <w:r w:rsidRPr="00DC5D9C">
        <w:rPr>
          <w:i/>
          <w:lang w:val="en-US"/>
        </w:rPr>
        <w:t xml:space="preserve">: </w:t>
      </w:r>
    </w:p>
    <w:p w14:paraId="0F640FD9" w14:textId="68FD0687" w:rsidR="00AF35E6" w:rsidRPr="003B4647" w:rsidRDefault="00AF35E6" w:rsidP="00B31254">
      <w:pPr>
        <w:pStyle w:val="ListParagraph"/>
        <w:numPr>
          <w:ilvl w:val="0"/>
          <w:numId w:val="8"/>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w:t>
      </w:r>
      <w:r w:rsidR="008D77C0">
        <w:rPr>
          <w:i/>
          <w:lang w:val="en-US"/>
        </w:rPr>
        <w:t>1</w:t>
      </w:r>
      <w:r w:rsidR="00F65DB6">
        <w:rPr>
          <w:i/>
          <w:lang w:val="en-US"/>
        </w:rPr>
        <w:t>7</w:t>
      </w:r>
      <w:r w:rsidR="008D77C0">
        <w:rPr>
          <w:i/>
          <w:lang w:val="en-US"/>
        </w:rPr>
        <w:t>-22</w:t>
      </w:r>
      <w:r w:rsidR="002D26F2">
        <w:rPr>
          <w:i/>
          <w:lang w:val="en-US"/>
        </w:rPr>
        <w:t>% gain in avg. UPT, and ~</w:t>
      </w:r>
      <w:r w:rsidR="008D77C0">
        <w:rPr>
          <w:i/>
          <w:lang w:val="en-US"/>
        </w:rPr>
        <w:t>73-1</w:t>
      </w:r>
      <w:r w:rsidR="00F65DB6">
        <w:rPr>
          <w:i/>
          <w:lang w:val="en-US"/>
        </w:rPr>
        <w:t>19</w:t>
      </w:r>
      <w:r>
        <w:rPr>
          <w:i/>
          <w:lang w:val="en-US"/>
        </w:rPr>
        <w:t>% gain in 5% UPT</w:t>
      </w:r>
      <w:r w:rsidR="008D77C0">
        <w:rPr>
          <w:i/>
          <w:lang w:val="en-US"/>
        </w:rPr>
        <w:t xml:space="preserve"> with N = 8 TPMIs</w:t>
      </w:r>
    </w:p>
    <w:p w14:paraId="0CC0BB7F" w14:textId="77777777" w:rsidR="00AF35E6" w:rsidRDefault="00AF35E6" w:rsidP="00B31254">
      <w:pPr>
        <w:pStyle w:val="ListParagraph"/>
        <w:numPr>
          <w:ilvl w:val="0"/>
          <w:numId w:val="8"/>
        </w:numPr>
        <w:spacing w:before="60" w:after="60" w:line="288" w:lineRule="auto"/>
        <w:ind w:leftChars="0"/>
        <w:jc w:val="both"/>
        <w:rPr>
          <w:i/>
          <w:lang w:val="en-US"/>
        </w:rPr>
      </w:pPr>
      <w:r>
        <w:rPr>
          <w:i/>
          <w:lang w:val="en-US"/>
        </w:rPr>
        <w:t>N = 2 TPMIs does not show much gain over N = 1 TPMI</w:t>
      </w:r>
    </w:p>
    <w:p w14:paraId="42A0EA98" w14:textId="77777777" w:rsidR="00F25AAD" w:rsidRDefault="00F25AAD" w:rsidP="00B31254">
      <w:pPr>
        <w:pStyle w:val="ListParagraph"/>
        <w:numPr>
          <w:ilvl w:val="0"/>
          <w:numId w:val="8"/>
        </w:numPr>
        <w:spacing w:before="60" w:after="60" w:line="288" w:lineRule="auto"/>
        <w:ind w:leftChars="0"/>
        <w:jc w:val="both"/>
        <w:rPr>
          <w:i/>
          <w:lang w:val="en-US"/>
        </w:rPr>
      </w:pPr>
      <w:r>
        <w:rPr>
          <w:i/>
          <w:lang w:val="en-US"/>
        </w:rPr>
        <w:t>N = 4</w:t>
      </w:r>
      <w:r w:rsidR="00F32B4A">
        <w:rPr>
          <w:i/>
          <w:lang w:val="en-US"/>
        </w:rPr>
        <w:t>,</w:t>
      </w:r>
      <w:r>
        <w:rPr>
          <w:i/>
          <w:lang w:val="en-US"/>
        </w:rPr>
        <w:t xml:space="preserve"> 6</w:t>
      </w:r>
      <w:r w:rsidR="00AF35E6">
        <w:rPr>
          <w:i/>
          <w:lang w:val="en-US"/>
        </w:rPr>
        <w:t xml:space="preserve"> TPMIs achieves good performance-overhead tradeoff</w:t>
      </w:r>
    </w:p>
    <w:p w14:paraId="4F0C8046" w14:textId="52F4E685" w:rsidR="00067C62" w:rsidRDefault="00F25AAD" w:rsidP="00B31254">
      <w:pPr>
        <w:pStyle w:val="ListParagraph"/>
        <w:numPr>
          <w:ilvl w:val="0"/>
          <w:numId w:val="8"/>
        </w:numPr>
        <w:spacing w:before="60" w:after="60" w:line="288" w:lineRule="auto"/>
        <w:ind w:leftChars="0"/>
        <w:jc w:val="both"/>
        <w:rPr>
          <w:i/>
          <w:lang w:val="en-US"/>
        </w:rPr>
      </w:pPr>
      <w:r>
        <w:rPr>
          <w:i/>
          <w:lang w:val="en-US"/>
        </w:rPr>
        <w:t xml:space="preserve">NR Type I codebook with L = 1 achieves the best performance-overhead tradeoff for both 4-Tx and 8-Tx: ~11-16 bits for N = 4, 6 TPMIs </w:t>
      </w:r>
    </w:p>
    <w:p w14:paraId="6B287C20" w14:textId="784F7B21" w:rsidR="0000377D" w:rsidRPr="003B4647" w:rsidRDefault="0000377D" w:rsidP="00B31254">
      <w:pPr>
        <w:pStyle w:val="ListParagraph"/>
        <w:numPr>
          <w:ilvl w:val="0"/>
          <w:numId w:val="8"/>
        </w:numPr>
        <w:spacing w:before="60" w:after="60" w:line="288" w:lineRule="auto"/>
        <w:ind w:leftChars="0"/>
        <w:jc w:val="both"/>
        <w:rPr>
          <w:i/>
          <w:lang w:val="en-US"/>
        </w:rPr>
      </w:pPr>
      <w:r>
        <w:rPr>
          <w:i/>
          <w:lang w:val="en-US"/>
        </w:rPr>
        <w:t xml:space="preserve">The performance gain of </w:t>
      </w:r>
      <w:proofErr w:type="gramStart"/>
      <w:r>
        <w:rPr>
          <w:i/>
          <w:lang w:val="en-US"/>
        </w:rPr>
        <w:t>8-Tx</w:t>
      </w:r>
      <w:proofErr w:type="gramEnd"/>
      <w:r>
        <w:rPr>
          <w:i/>
          <w:lang w:val="en-US"/>
        </w:rPr>
        <w:t xml:space="preserve"> over 4-Tx </w:t>
      </w:r>
      <w:r w:rsidR="00907D56">
        <w:rPr>
          <w:i/>
          <w:lang w:val="en-US"/>
        </w:rPr>
        <w:t xml:space="preserve">in UL </w:t>
      </w:r>
      <w:r w:rsidR="00F25AAD">
        <w:rPr>
          <w:i/>
          <w:lang w:val="en-US"/>
        </w:rPr>
        <w:t>is ~10-14% in avg. UPT and ~65-</w:t>
      </w:r>
      <w:r w:rsidR="008D77C0">
        <w:rPr>
          <w:i/>
          <w:lang w:val="en-US"/>
        </w:rPr>
        <w:t>1</w:t>
      </w:r>
      <w:r w:rsidR="00F25AAD">
        <w:rPr>
          <w:i/>
          <w:lang w:val="en-US"/>
        </w:rPr>
        <w:t>03</w:t>
      </w:r>
      <w:r>
        <w:rPr>
          <w:i/>
          <w:lang w:val="en-US"/>
        </w:rPr>
        <w:t>% in 5% UPT, respectively.</w:t>
      </w:r>
    </w:p>
    <w:p w14:paraId="19FCF244" w14:textId="241E471A" w:rsidR="00666C40" w:rsidRDefault="00C43743" w:rsidP="00C43743">
      <w:pPr>
        <w:keepNext/>
        <w:spacing w:before="60" w:after="60" w:line="288" w:lineRule="auto"/>
        <w:sectPr w:rsidR="00666C40" w:rsidSect="00FF4D8E">
          <w:headerReference w:type="default" r:id="rId14"/>
          <w:footnotePr>
            <w:numRestart w:val="eachSect"/>
          </w:footnotePr>
          <w:pgSz w:w="11907" w:h="16840" w:code="9"/>
          <w:pgMar w:top="1418" w:right="1134" w:bottom="1134" w:left="1134" w:header="680" w:footer="567" w:gutter="0"/>
          <w:cols w:space="720"/>
        </w:sectPr>
      </w:pPr>
      <w:r w:rsidRPr="00FA1D2B">
        <w:rPr>
          <w:b/>
          <w:i/>
          <w:iCs/>
          <w:u w:val="single"/>
          <w:lang w:eastAsia="ko-KR"/>
        </w:rPr>
        <w:t>Proposal</w:t>
      </w:r>
      <w:r>
        <w:rPr>
          <w:i/>
          <w:iCs/>
          <w:lang w:eastAsia="ko-KR"/>
        </w:rPr>
        <w:t xml:space="preserve">: N = 4-6 TPMIs </w:t>
      </w:r>
      <w:r w:rsidR="00690C25">
        <w:rPr>
          <w:i/>
          <w:iCs/>
          <w:lang w:eastAsia="ko-KR"/>
        </w:rPr>
        <w:t xml:space="preserve">indication </w:t>
      </w:r>
      <w:r>
        <w:rPr>
          <w:i/>
          <w:iCs/>
          <w:lang w:eastAsia="ko-KR"/>
        </w:rPr>
        <w:t xml:space="preserve">using </w:t>
      </w:r>
      <w:r>
        <w:rPr>
          <w:i/>
          <w:lang w:val="en-US"/>
        </w:rPr>
        <w:t>NR Type I codebook with L = 1 is supported for frequency-selective precoding in UL.</w:t>
      </w:r>
    </w:p>
    <w:p w14:paraId="36A3AE88" w14:textId="42498841" w:rsidR="00067C62" w:rsidRDefault="00067C62" w:rsidP="00067C62">
      <w:pPr>
        <w:keepNext/>
        <w:spacing w:before="60" w:after="60" w:line="288" w:lineRule="auto"/>
        <w:jc w:val="center"/>
      </w:pPr>
      <w:r w:rsidRPr="004E7E7B">
        <w:rPr>
          <w:noProof/>
          <w:lang w:val="en-US"/>
        </w:rPr>
        <w:drawing>
          <wp:inline distT="0" distB="0" distL="0" distR="0" wp14:anchorId="3C9E5D20" wp14:editId="47C56958">
            <wp:extent cx="3037205" cy="2286000"/>
            <wp:effectExtent l="0" t="0" r="1079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6B591E" w14:textId="263541B3" w:rsidR="00067C62" w:rsidRDefault="00067C62" w:rsidP="00067C62">
      <w:pPr>
        <w:pStyle w:val="Caption"/>
        <w:jc w:val="center"/>
      </w:pPr>
      <w:bookmarkStart w:id="8" w:name="_Ref481707478"/>
      <w:r>
        <w:t xml:space="preserve">Figure </w:t>
      </w:r>
      <w:r>
        <w:fldChar w:fldCharType="begin"/>
      </w:r>
      <w:r>
        <w:instrText xml:space="preserve"> SEQ Figure \* ARABIC </w:instrText>
      </w:r>
      <w:r>
        <w:fldChar w:fldCharType="separate"/>
      </w:r>
      <w:r w:rsidR="00E20F74">
        <w:rPr>
          <w:noProof/>
        </w:rPr>
        <w:t>4</w:t>
      </w:r>
      <w:r>
        <w:fldChar w:fldCharType="end"/>
      </w:r>
      <w:bookmarkEnd w:id="8"/>
      <w:r>
        <w:t xml:space="preserve">: </w:t>
      </w:r>
      <w:r w:rsidR="00666C40">
        <w:t>Performance</w:t>
      </w:r>
    </w:p>
    <w:p w14:paraId="579AB602" w14:textId="77777777" w:rsidR="00524718" w:rsidRDefault="00524718" w:rsidP="00524718">
      <w:pPr>
        <w:keepNext/>
        <w:spacing w:before="60" w:after="60" w:line="288" w:lineRule="auto"/>
        <w:jc w:val="center"/>
      </w:pPr>
      <w:r w:rsidRPr="004E7E7B">
        <w:rPr>
          <w:noProof/>
          <w:lang w:val="en-US"/>
        </w:rPr>
        <w:drawing>
          <wp:inline distT="0" distB="0" distL="0" distR="0" wp14:anchorId="2E475622" wp14:editId="1C06B11D">
            <wp:extent cx="2932430" cy="2286000"/>
            <wp:effectExtent l="0" t="0" r="127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5454A7C" w14:textId="5A1DDD1B" w:rsidR="00524718" w:rsidRDefault="00524718" w:rsidP="00524718">
      <w:pPr>
        <w:pStyle w:val="Caption"/>
        <w:jc w:val="center"/>
      </w:pPr>
      <w:r>
        <w:t xml:space="preserve">Figure </w:t>
      </w:r>
      <w:r>
        <w:fldChar w:fldCharType="begin"/>
      </w:r>
      <w:r>
        <w:instrText xml:space="preserve"> SEQ Figure \* ARABIC </w:instrText>
      </w:r>
      <w:r>
        <w:fldChar w:fldCharType="separate"/>
      </w:r>
      <w:r w:rsidR="00E20F74">
        <w:rPr>
          <w:noProof/>
        </w:rPr>
        <w:t>5</w:t>
      </w:r>
      <w:r>
        <w:fldChar w:fldCharType="end"/>
      </w:r>
      <w:r>
        <w:t xml:space="preserve">: </w:t>
      </w:r>
      <w:r w:rsidR="00666C40">
        <w:t>Overhead</w:t>
      </w:r>
      <w:r>
        <w:t xml:space="preserve"> (total #</w:t>
      </w:r>
      <w:r w:rsidR="00666C40">
        <w:t>b</w:t>
      </w:r>
      <w:r>
        <w:t>its)</w:t>
      </w:r>
    </w:p>
    <w:p w14:paraId="1134F633" w14:textId="77777777" w:rsidR="00666C40" w:rsidRDefault="00666C40" w:rsidP="00524718">
      <w:pPr>
        <w:sectPr w:rsidR="00666C40" w:rsidSect="00666C40">
          <w:footnotePr>
            <w:numRestart w:val="eachSect"/>
          </w:footnotePr>
          <w:type w:val="continuous"/>
          <w:pgSz w:w="11907" w:h="16840" w:code="9"/>
          <w:pgMar w:top="1418" w:right="1134" w:bottom="1134" w:left="1134" w:header="680" w:footer="567" w:gutter="0"/>
          <w:cols w:num="2" w:space="720"/>
        </w:sectPr>
      </w:pPr>
    </w:p>
    <w:p w14:paraId="4921156A" w14:textId="77777777" w:rsidR="00666C40" w:rsidRDefault="00666C40" w:rsidP="00666C40">
      <w:pPr>
        <w:keepNext/>
        <w:spacing w:before="60" w:after="60" w:line="288" w:lineRule="auto"/>
        <w:jc w:val="center"/>
      </w:pPr>
      <w:r w:rsidRPr="004E7E7B">
        <w:rPr>
          <w:noProof/>
          <w:lang w:val="en-US"/>
        </w:rPr>
        <w:lastRenderedPageBreak/>
        <w:drawing>
          <wp:inline distT="0" distB="0" distL="0" distR="0" wp14:anchorId="70DC3FA5" wp14:editId="77FF665B">
            <wp:extent cx="3037205" cy="2243797"/>
            <wp:effectExtent l="0" t="0" r="10795" b="44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53F5AE1" w14:textId="464EC7AE" w:rsidR="00666C40" w:rsidRDefault="00666C40" w:rsidP="00666C40">
      <w:pPr>
        <w:pStyle w:val="Caption"/>
        <w:jc w:val="center"/>
      </w:pPr>
      <w:r>
        <w:t xml:space="preserve">Figure </w:t>
      </w:r>
      <w:r>
        <w:fldChar w:fldCharType="begin"/>
      </w:r>
      <w:r>
        <w:instrText xml:space="preserve"> SEQ Figure \* ARABIC </w:instrText>
      </w:r>
      <w:r>
        <w:fldChar w:fldCharType="separate"/>
      </w:r>
      <w:r w:rsidR="00E20F74">
        <w:rPr>
          <w:noProof/>
        </w:rPr>
        <w:t>6</w:t>
      </w:r>
      <w:r>
        <w:fldChar w:fldCharType="end"/>
      </w:r>
      <w:r>
        <w:t>: Performance</w:t>
      </w:r>
    </w:p>
    <w:p w14:paraId="3A8E1546" w14:textId="77777777" w:rsidR="00666C40" w:rsidRDefault="00666C40" w:rsidP="00666C40">
      <w:pPr>
        <w:keepNext/>
        <w:spacing w:before="60" w:after="60" w:line="288" w:lineRule="auto"/>
        <w:jc w:val="center"/>
      </w:pPr>
      <w:r w:rsidRPr="004E7E7B">
        <w:rPr>
          <w:noProof/>
          <w:lang w:val="en-US"/>
        </w:rPr>
        <w:drawing>
          <wp:inline distT="0" distB="0" distL="0" distR="0" wp14:anchorId="47E4FC6F" wp14:editId="29DC002C">
            <wp:extent cx="2932430" cy="2243455"/>
            <wp:effectExtent l="0" t="0" r="1270" b="444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7D2E65C" w14:textId="16FD8730" w:rsidR="00666C40" w:rsidRDefault="00666C40" w:rsidP="00666C40">
      <w:pPr>
        <w:pStyle w:val="Caption"/>
        <w:jc w:val="center"/>
      </w:pPr>
      <w:bookmarkStart w:id="9" w:name="_Ref490062623"/>
      <w:r>
        <w:t xml:space="preserve">Figure </w:t>
      </w:r>
      <w:r>
        <w:fldChar w:fldCharType="begin"/>
      </w:r>
      <w:r>
        <w:instrText xml:space="preserve"> SEQ Figure \* ARABIC </w:instrText>
      </w:r>
      <w:r>
        <w:fldChar w:fldCharType="separate"/>
      </w:r>
      <w:r w:rsidR="00E20F74">
        <w:rPr>
          <w:noProof/>
        </w:rPr>
        <w:t>7</w:t>
      </w:r>
      <w:r>
        <w:fldChar w:fldCharType="end"/>
      </w:r>
      <w:bookmarkEnd w:id="9"/>
      <w:r>
        <w:t>: Overhead (total #bits)</w:t>
      </w:r>
    </w:p>
    <w:p w14:paraId="1845D5A8" w14:textId="77777777" w:rsidR="00666C40" w:rsidRDefault="00666C40" w:rsidP="00666C40">
      <w:pPr>
        <w:keepNext/>
        <w:spacing w:before="60" w:after="60" w:line="288" w:lineRule="auto"/>
        <w:jc w:val="center"/>
        <w:sectPr w:rsidR="00666C40" w:rsidSect="00666C40">
          <w:footnotePr>
            <w:numRestart w:val="eachSect"/>
          </w:footnotePr>
          <w:type w:val="continuous"/>
          <w:pgSz w:w="11907" w:h="16840" w:code="9"/>
          <w:pgMar w:top="1418" w:right="1134" w:bottom="1134" w:left="1134" w:header="680" w:footer="567" w:gutter="0"/>
          <w:cols w:num="2" w:space="720"/>
        </w:sectPr>
      </w:pPr>
    </w:p>
    <w:p w14:paraId="1992CF74" w14:textId="77777777" w:rsidR="0054386E" w:rsidRDefault="0054386E" w:rsidP="0054386E">
      <w:pPr>
        <w:keepNext/>
        <w:spacing w:before="60" w:after="60" w:line="288" w:lineRule="auto"/>
        <w:jc w:val="center"/>
      </w:pPr>
      <w:r w:rsidRPr="004E7E7B">
        <w:rPr>
          <w:noProof/>
          <w:lang w:val="en-US"/>
        </w:rPr>
        <w:drawing>
          <wp:inline distT="0" distB="0" distL="0" distR="0" wp14:anchorId="7D56E6D8" wp14:editId="6D24B8E9">
            <wp:extent cx="3037205" cy="2271932"/>
            <wp:effectExtent l="0" t="0" r="10795" b="1460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02D4339" w14:textId="296CDC90" w:rsidR="0054386E" w:rsidRDefault="0054386E" w:rsidP="0054386E">
      <w:pPr>
        <w:pStyle w:val="Caption"/>
        <w:jc w:val="center"/>
      </w:pPr>
      <w:bookmarkStart w:id="10" w:name="_Ref485119830"/>
      <w:r>
        <w:t xml:space="preserve">Figure </w:t>
      </w:r>
      <w:r>
        <w:fldChar w:fldCharType="begin"/>
      </w:r>
      <w:r>
        <w:instrText xml:space="preserve"> SEQ Figure \* ARABIC </w:instrText>
      </w:r>
      <w:r>
        <w:fldChar w:fldCharType="separate"/>
      </w:r>
      <w:r w:rsidR="00E20F74">
        <w:rPr>
          <w:noProof/>
        </w:rPr>
        <w:t>8</w:t>
      </w:r>
      <w:r>
        <w:fldChar w:fldCharType="end"/>
      </w:r>
      <w:bookmarkEnd w:id="10"/>
      <w:r>
        <w:t>: Performance</w:t>
      </w:r>
    </w:p>
    <w:p w14:paraId="5378B062" w14:textId="77777777" w:rsidR="0054386E" w:rsidRDefault="0054386E" w:rsidP="0054386E">
      <w:pPr>
        <w:keepNext/>
        <w:spacing w:before="60" w:after="60" w:line="288" w:lineRule="auto"/>
        <w:jc w:val="center"/>
      </w:pPr>
      <w:r w:rsidRPr="004E7E7B">
        <w:rPr>
          <w:noProof/>
          <w:lang w:val="en-US"/>
        </w:rPr>
        <w:drawing>
          <wp:inline distT="0" distB="0" distL="0" distR="0" wp14:anchorId="616D7681" wp14:editId="34D6A746">
            <wp:extent cx="2932430" cy="2278966"/>
            <wp:effectExtent l="0" t="0" r="1270" b="762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8136ECD" w14:textId="6042078F" w:rsidR="0054386E" w:rsidRDefault="0054386E" w:rsidP="0054386E">
      <w:pPr>
        <w:pStyle w:val="Caption"/>
        <w:jc w:val="center"/>
      </w:pPr>
      <w:bookmarkStart w:id="11" w:name="_Ref490062654"/>
      <w:r>
        <w:t xml:space="preserve">Figure </w:t>
      </w:r>
      <w:r>
        <w:fldChar w:fldCharType="begin"/>
      </w:r>
      <w:r>
        <w:instrText xml:space="preserve"> SEQ Figure \* ARABIC </w:instrText>
      </w:r>
      <w:r>
        <w:fldChar w:fldCharType="separate"/>
      </w:r>
      <w:r w:rsidR="00E20F74">
        <w:rPr>
          <w:noProof/>
        </w:rPr>
        <w:t>9</w:t>
      </w:r>
      <w:r>
        <w:fldChar w:fldCharType="end"/>
      </w:r>
      <w:bookmarkEnd w:id="11"/>
      <w:r>
        <w:t>: Overhead (total #bits)</w:t>
      </w:r>
    </w:p>
    <w:p w14:paraId="7C8E8815" w14:textId="77777777" w:rsidR="0054386E" w:rsidRDefault="0054386E" w:rsidP="0054386E">
      <w:pPr>
        <w:keepNext/>
        <w:spacing w:before="60" w:after="60" w:line="288" w:lineRule="auto"/>
        <w:jc w:val="center"/>
        <w:sectPr w:rsidR="0054386E" w:rsidSect="00666C40">
          <w:footnotePr>
            <w:numRestart w:val="eachSect"/>
          </w:footnotePr>
          <w:type w:val="continuous"/>
          <w:pgSz w:w="11907" w:h="16840" w:code="9"/>
          <w:pgMar w:top="1418" w:right="1134" w:bottom="1134" w:left="1134" w:header="680" w:footer="567" w:gutter="0"/>
          <w:cols w:num="2" w:space="720"/>
        </w:sectPr>
      </w:pPr>
    </w:p>
    <w:p w14:paraId="4CEDA767" w14:textId="77777777" w:rsidR="0054386E" w:rsidRDefault="0054386E" w:rsidP="00524718">
      <w:pPr>
        <w:sectPr w:rsidR="0054386E" w:rsidSect="0054386E">
          <w:footnotePr>
            <w:numRestart w:val="eachSect"/>
          </w:footnotePr>
          <w:type w:val="continuous"/>
          <w:pgSz w:w="11907" w:h="16840" w:code="9"/>
          <w:pgMar w:top="1418" w:right="1134" w:bottom="1134" w:left="1134" w:header="680" w:footer="567" w:gutter="0"/>
          <w:cols w:num="2" w:space="720"/>
        </w:sectPr>
      </w:pPr>
    </w:p>
    <w:p w14:paraId="76E92721" w14:textId="77777777" w:rsidR="00566C74" w:rsidRDefault="00566C74" w:rsidP="00566C74">
      <w:pPr>
        <w:keepNext/>
        <w:spacing w:before="60" w:after="60" w:line="288" w:lineRule="auto"/>
        <w:jc w:val="center"/>
      </w:pPr>
      <w:r w:rsidRPr="004E7E7B">
        <w:rPr>
          <w:noProof/>
          <w:lang w:val="en-US"/>
        </w:rPr>
        <w:drawing>
          <wp:inline distT="0" distB="0" distL="0" distR="0" wp14:anchorId="2EF5D9DD" wp14:editId="11BEFF08">
            <wp:extent cx="5695950" cy="2063750"/>
            <wp:effectExtent l="0" t="0" r="0"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98F0669" w14:textId="69E9AEFE" w:rsidR="00566C74" w:rsidRDefault="00566C74" w:rsidP="00566C74">
      <w:pPr>
        <w:pStyle w:val="Caption"/>
        <w:jc w:val="center"/>
      </w:pPr>
      <w:bookmarkStart w:id="12" w:name="_Ref482822628"/>
      <w:r>
        <w:t xml:space="preserve">Figure </w:t>
      </w:r>
      <w:r>
        <w:fldChar w:fldCharType="begin"/>
      </w:r>
      <w:r>
        <w:instrText xml:space="preserve"> SEQ Figure \* ARABIC </w:instrText>
      </w:r>
      <w:r>
        <w:fldChar w:fldCharType="separate"/>
      </w:r>
      <w:r w:rsidR="00E20F74">
        <w:rPr>
          <w:noProof/>
        </w:rPr>
        <w:t>10</w:t>
      </w:r>
      <w:r>
        <w:fldChar w:fldCharType="end"/>
      </w:r>
      <w:bookmarkEnd w:id="12"/>
      <w:r>
        <w:t xml:space="preserve">: </w:t>
      </w:r>
      <w:r w:rsidR="00AE7722">
        <w:t>Performance gain of 8</w:t>
      </w:r>
      <w:r w:rsidR="00502BD8">
        <w:t>Tx over 4</w:t>
      </w:r>
      <w:r w:rsidR="00AE7722">
        <w:t>Tx</w:t>
      </w:r>
      <w:r w:rsidR="00D50210">
        <w:t xml:space="preserve"> in UL</w:t>
      </w:r>
    </w:p>
    <w:p w14:paraId="4063A4F9" w14:textId="56FD94EA" w:rsidR="00700E6C" w:rsidRPr="00700E6C" w:rsidRDefault="00AE26A3" w:rsidP="00700E6C">
      <w:pPr>
        <w:spacing w:before="60" w:after="60" w:line="288" w:lineRule="auto"/>
        <w:ind w:firstLine="450"/>
        <w:jc w:val="both"/>
      </w:pPr>
      <w:r>
        <w:rPr>
          <w:lang w:val="en-US"/>
        </w:rPr>
        <w:t>In Evaluation 2</w:t>
      </w:r>
      <w:r w:rsidR="00700E6C" w:rsidRPr="00700E6C">
        <w:rPr>
          <w:lang w:val="en-US"/>
        </w:rPr>
        <w:t xml:space="preserve">, </w:t>
      </w:r>
      <w:r>
        <w:rPr>
          <w:lang w:val="en-US"/>
        </w:rPr>
        <w:t xml:space="preserve">the </w:t>
      </w:r>
      <w:r w:rsidR="00700E6C" w:rsidRPr="00700E6C">
        <w:rPr>
          <w:lang w:val="en-US"/>
        </w:rPr>
        <w:t xml:space="preserve">system-level evaluation of the UE-centric </w:t>
      </w:r>
      <w:proofErr w:type="spellStart"/>
      <w:r w:rsidR="00700E6C" w:rsidRPr="00700E6C">
        <w:rPr>
          <w:lang w:val="en-US"/>
        </w:rPr>
        <w:t>gNB</w:t>
      </w:r>
      <w:proofErr w:type="spellEnd"/>
      <w:r w:rsidR="00700E6C" w:rsidRPr="00700E6C">
        <w:rPr>
          <w:lang w:val="en-US"/>
        </w:rPr>
        <w:t>-aided scheme</w:t>
      </w:r>
      <w:r w:rsidR="00E45A89">
        <w:rPr>
          <w:lang w:val="en-US"/>
        </w:rPr>
        <w:t xml:space="preserve"> explained in Section 6 an also </w:t>
      </w:r>
      <w:r w:rsidR="00700E6C" w:rsidRPr="00700E6C">
        <w:rPr>
          <w:lang w:val="en-US"/>
        </w:rPr>
        <w:t xml:space="preserve">outlined in the </w:t>
      </w:r>
      <w:r w:rsidR="00941AF2">
        <w:rPr>
          <w:lang w:val="en-US"/>
        </w:rPr>
        <w:t>companion contribution [8]</w:t>
      </w:r>
      <w:r w:rsidR="00700E6C" w:rsidRPr="00700E6C">
        <w:rPr>
          <w:lang w:val="en-US"/>
        </w:rPr>
        <w:t xml:space="preserve"> is provided. </w:t>
      </w:r>
      <w:r w:rsidR="00700E6C" w:rsidRPr="00700E6C">
        <w:t xml:space="preserve">The non-full-buffer system-level evaluation is carried out for </w:t>
      </w:r>
      <w:proofErr w:type="spellStart"/>
      <w:r w:rsidR="00700E6C" w:rsidRPr="00700E6C">
        <w:t>UMi</w:t>
      </w:r>
      <w:proofErr w:type="spellEnd"/>
      <w:r w:rsidR="00700E6C" w:rsidRPr="00700E6C">
        <w:t xml:space="preserve"> channel model in medium (50% target RU) traffic loading scenario and SU-MIMO. The results are provided for 4 and 8 antenna ports with (</w:t>
      </w:r>
      <w:r w:rsidR="00700E6C" w:rsidRPr="00700E6C">
        <w:rPr>
          <w:i/>
        </w:rPr>
        <w:t>N</w:t>
      </w:r>
      <w:r w:rsidR="00700E6C" w:rsidRPr="00700E6C">
        <w:rPr>
          <w:vertAlign w:val="subscript"/>
        </w:rPr>
        <w:t>1</w:t>
      </w:r>
      <w:r w:rsidR="00700E6C" w:rsidRPr="00700E6C">
        <w:t xml:space="preserve">, </w:t>
      </w:r>
      <w:r w:rsidR="00700E6C" w:rsidRPr="00700E6C">
        <w:rPr>
          <w:i/>
        </w:rPr>
        <w:t>N</w:t>
      </w:r>
      <w:r w:rsidR="00700E6C" w:rsidRPr="00700E6C">
        <w:rPr>
          <w:vertAlign w:val="subscript"/>
        </w:rPr>
        <w:t>2</w:t>
      </w:r>
      <w:r w:rsidR="00700E6C" w:rsidRPr="00700E6C">
        <w:t xml:space="preserve">) = (2, 1) and (4, 1) at the UE where we assume that the first dimension is horizontal and the second dimension is vertical. The relevant simulation parameters are enlisted in </w:t>
      </w:r>
      <w:r w:rsidR="00700E6C" w:rsidRPr="00700E6C">
        <w:fldChar w:fldCharType="begin"/>
      </w:r>
      <w:r w:rsidR="00700E6C" w:rsidRPr="00700E6C">
        <w:instrText xml:space="preserve"> REF _Ref458526226 \h </w:instrText>
      </w:r>
      <w:r w:rsidR="00700E6C" w:rsidRPr="00700E6C">
        <w:fldChar w:fldCharType="separate"/>
      </w:r>
      <w:r w:rsidR="00E20F74">
        <w:t xml:space="preserve">Table </w:t>
      </w:r>
      <w:r w:rsidR="00E20F74">
        <w:rPr>
          <w:noProof/>
        </w:rPr>
        <w:t>1</w:t>
      </w:r>
      <w:r w:rsidR="00700E6C" w:rsidRPr="00700E6C">
        <w:fldChar w:fldCharType="end"/>
      </w:r>
      <w:r w:rsidR="00700E6C" w:rsidRPr="00700E6C">
        <w:t xml:space="preserve">. For 4-Tx, LTE UL 4-Tx codebook is considered as reference and the performance is compared with LTE DL Rel. 8 4-Tx and LTE DL Rel. </w:t>
      </w:r>
      <w:r w:rsidR="00700E6C" w:rsidRPr="00700E6C">
        <w:lastRenderedPageBreak/>
        <w:t xml:space="preserve">12 4-Tx codebooks. For 8-Tx, LTE Rel. 10 codebook is considered as reference. For these codebooks, the simulation results are provided for the following cases: </w:t>
      </w:r>
    </w:p>
    <w:p w14:paraId="49BCC57D" w14:textId="77777777" w:rsidR="00700E6C" w:rsidRPr="00700E6C" w:rsidRDefault="00700E6C" w:rsidP="00B31254">
      <w:pPr>
        <w:numPr>
          <w:ilvl w:val="0"/>
          <w:numId w:val="18"/>
        </w:numPr>
        <w:spacing w:before="60" w:after="60" w:line="288" w:lineRule="auto"/>
        <w:jc w:val="both"/>
      </w:pPr>
      <w:r w:rsidRPr="00700E6C">
        <w:t>(</w:t>
      </w:r>
      <w:proofErr w:type="spellStart"/>
      <w:r w:rsidRPr="00700E6C">
        <w:t>Config</w:t>
      </w:r>
      <w:proofErr w:type="spellEnd"/>
      <w:r w:rsidRPr="00700E6C">
        <w:t xml:space="preserve"> 1) TPMI indicates a WB pre-coder for UL transmission. </w:t>
      </w:r>
    </w:p>
    <w:p w14:paraId="69F12EDD" w14:textId="77777777" w:rsidR="00700E6C" w:rsidRPr="00700E6C" w:rsidRDefault="00700E6C" w:rsidP="00B31254">
      <w:pPr>
        <w:numPr>
          <w:ilvl w:val="0"/>
          <w:numId w:val="18"/>
        </w:numPr>
        <w:spacing w:before="60" w:after="60" w:line="288" w:lineRule="auto"/>
        <w:jc w:val="both"/>
      </w:pPr>
      <w:r w:rsidRPr="00700E6C">
        <w:t>(</w:t>
      </w:r>
      <w:proofErr w:type="spellStart"/>
      <w:r w:rsidRPr="00700E6C">
        <w:t>Config</w:t>
      </w:r>
      <w:proofErr w:type="spellEnd"/>
      <w:r w:rsidRPr="00700E6C">
        <w:t xml:space="preserve"> 2) TPMI indicates a WB beam group comprising of 4 DFT beams in the Type I W1 codebook (for </w:t>
      </w:r>
      <w:r w:rsidRPr="00700E6C">
        <w:rPr>
          <w:i/>
        </w:rPr>
        <w:t>L</w:t>
      </w:r>
      <w:r w:rsidRPr="00700E6C">
        <w:t xml:space="preserve"> = 4) [5] and the UE performs the linear combination of the 4 beams to determine the pre-coder for UL transmission (relying on DL CSI-RS). </w:t>
      </w:r>
    </w:p>
    <w:p w14:paraId="649FC80C" w14:textId="77777777" w:rsidR="00700E6C" w:rsidRPr="00700E6C" w:rsidRDefault="00700E6C" w:rsidP="00B31254">
      <w:pPr>
        <w:numPr>
          <w:ilvl w:val="1"/>
          <w:numId w:val="18"/>
        </w:numPr>
        <w:spacing w:before="60" w:after="60" w:line="288" w:lineRule="auto"/>
        <w:jc w:val="both"/>
      </w:pPr>
      <w:r w:rsidRPr="00700E6C">
        <w:t xml:space="preserve">DL-UL channel reciprocity is assumed. Impairments due to CSI-RS measurement at the UE are taken into account. </w:t>
      </w:r>
    </w:p>
    <w:p w14:paraId="60CA668C" w14:textId="5E2C47D1" w:rsidR="00700E6C" w:rsidRPr="00700E6C" w:rsidRDefault="00700E6C" w:rsidP="00700E6C">
      <w:pPr>
        <w:spacing w:before="60" w:after="60" w:line="288" w:lineRule="auto"/>
        <w:ind w:firstLine="450"/>
        <w:jc w:val="both"/>
      </w:pPr>
      <w:r w:rsidRPr="00700E6C">
        <w:t xml:space="preserve">The simulation results are shown in </w:t>
      </w:r>
      <w:r w:rsidR="00224598">
        <w:fldChar w:fldCharType="begin"/>
      </w:r>
      <w:r w:rsidR="00224598">
        <w:instrText xml:space="preserve"> REF _Ref490062225 \h </w:instrText>
      </w:r>
      <w:r w:rsidR="00224598">
        <w:fldChar w:fldCharType="separate"/>
      </w:r>
      <w:r w:rsidR="00E20F74" w:rsidRPr="00700E6C">
        <w:rPr>
          <w:b/>
          <w:bCs/>
        </w:rPr>
        <w:t xml:space="preserve">Figure </w:t>
      </w:r>
      <w:r w:rsidR="00E20F74">
        <w:rPr>
          <w:b/>
          <w:bCs/>
          <w:noProof/>
        </w:rPr>
        <w:t>11</w:t>
      </w:r>
      <w:r w:rsidR="00224598">
        <w:fldChar w:fldCharType="end"/>
      </w:r>
      <w:r w:rsidR="00224598">
        <w:t xml:space="preserve"> </w:t>
      </w:r>
      <w:r w:rsidRPr="00700E6C">
        <w:t xml:space="preserve">and </w:t>
      </w:r>
      <w:r w:rsidRPr="00700E6C">
        <w:fldChar w:fldCharType="begin"/>
      </w:r>
      <w:r w:rsidRPr="00700E6C">
        <w:instrText xml:space="preserve"> REF _Ref481707479 \h </w:instrText>
      </w:r>
      <w:r w:rsidRPr="00700E6C">
        <w:fldChar w:fldCharType="separate"/>
      </w:r>
      <w:r w:rsidR="00E20F74" w:rsidRPr="00700E6C">
        <w:rPr>
          <w:b/>
          <w:bCs/>
        </w:rPr>
        <w:t xml:space="preserve">Figure </w:t>
      </w:r>
      <w:r w:rsidR="00E20F74">
        <w:rPr>
          <w:b/>
          <w:bCs/>
          <w:noProof/>
        </w:rPr>
        <w:t>12</w:t>
      </w:r>
      <w:r w:rsidRPr="00700E6C">
        <w:fldChar w:fldCharType="end"/>
      </w:r>
      <w:r w:rsidRPr="00700E6C">
        <w:t xml:space="preserve"> for </w:t>
      </w:r>
      <w:proofErr w:type="gramStart"/>
      <w:r w:rsidRPr="00700E6C">
        <w:t>4-Tx</w:t>
      </w:r>
      <w:proofErr w:type="gramEnd"/>
      <w:r w:rsidRPr="00700E6C">
        <w:t xml:space="preserve"> and in </w:t>
      </w:r>
      <w:r w:rsidRPr="00700E6C">
        <w:fldChar w:fldCharType="begin"/>
      </w:r>
      <w:r w:rsidRPr="00700E6C">
        <w:instrText xml:space="preserve"> REF _Ref481707481 \h </w:instrText>
      </w:r>
      <w:r w:rsidRPr="00700E6C">
        <w:fldChar w:fldCharType="separate"/>
      </w:r>
      <w:r w:rsidR="00E20F74" w:rsidRPr="00700E6C">
        <w:rPr>
          <w:b/>
          <w:bCs/>
        </w:rPr>
        <w:t xml:space="preserve">Figure </w:t>
      </w:r>
      <w:r w:rsidR="00E20F74">
        <w:rPr>
          <w:b/>
          <w:bCs/>
          <w:noProof/>
        </w:rPr>
        <w:t>13</w:t>
      </w:r>
      <w:r w:rsidRPr="00700E6C">
        <w:fldChar w:fldCharType="end"/>
      </w:r>
      <w:r w:rsidRPr="00700E6C">
        <w:t xml:space="preserve"> and </w:t>
      </w:r>
      <w:r w:rsidRPr="00700E6C">
        <w:fldChar w:fldCharType="begin"/>
      </w:r>
      <w:r w:rsidRPr="00700E6C">
        <w:instrText xml:space="preserve"> REF _Ref481707483 \h </w:instrText>
      </w:r>
      <w:r w:rsidRPr="00700E6C">
        <w:fldChar w:fldCharType="separate"/>
      </w:r>
      <w:r w:rsidR="00E20F74" w:rsidRPr="00700E6C">
        <w:rPr>
          <w:b/>
        </w:rPr>
        <w:t xml:space="preserve">Figure </w:t>
      </w:r>
      <w:r w:rsidR="00E20F74">
        <w:rPr>
          <w:b/>
          <w:noProof/>
        </w:rPr>
        <w:t>14</w:t>
      </w:r>
      <w:r w:rsidRPr="00700E6C">
        <w:fldChar w:fldCharType="end"/>
      </w:r>
      <w:r w:rsidRPr="00700E6C">
        <w:t xml:space="preserve"> for 8-Tx. The following observation can be made:</w:t>
      </w:r>
    </w:p>
    <w:p w14:paraId="06D90863" w14:textId="77777777" w:rsidR="00700E6C" w:rsidRPr="00700E6C" w:rsidRDefault="00700E6C" w:rsidP="00700E6C">
      <w:pPr>
        <w:spacing w:before="60" w:after="60" w:line="288" w:lineRule="auto"/>
        <w:jc w:val="both"/>
        <w:rPr>
          <w:i/>
          <w:lang w:val="en-US"/>
        </w:rPr>
      </w:pPr>
      <w:r w:rsidRPr="00700E6C">
        <w:rPr>
          <w:b/>
          <w:u w:val="single"/>
          <w:lang w:val="en-US"/>
        </w:rPr>
        <w:t>Observation</w:t>
      </w:r>
      <w:r w:rsidRPr="00700E6C">
        <w:rPr>
          <w:i/>
          <w:lang w:val="en-US"/>
        </w:rPr>
        <w:t xml:space="preserve">: </w:t>
      </w:r>
    </w:p>
    <w:p w14:paraId="4F236C7F" w14:textId="77777777" w:rsidR="00700E6C" w:rsidRPr="00700E6C" w:rsidRDefault="00700E6C" w:rsidP="00B31254">
      <w:pPr>
        <w:numPr>
          <w:ilvl w:val="0"/>
          <w:numId w:val="18"/>
        </w:numPr>
        <w:spacing w:before="60" w:after="60" w:line="288" w:lineRule="auto"/>
        <w:jc w:val="both"/>
        <w:rPr>
          <w:i/>
          <w:lang w:val="en-US"/>
        </w:rPr>
      </w:pPr>
      <w:r w:rsidRPr="00700E6C">
        <w:rPr>
          <w:i/>
          <w:lang w:val="en-US"/>
        </w:rPr>
        <w:t xml:space="preserve">For 4-Tx and </w:t>
      </w:r>
      <w:proofErr w:type="spellStart"/>
      <w:r w:rsidRPr="00700E6C">
        <w:rPr>
          <w:i/>
          <w:lang w:val="en-US"/>
        </w:rPr>
        <w:t>Config</w:t>
      </w:r>
      <w:proofErr w:type="spellEnd"/>
      <w:r w:rsidRPr="00700E6C">
        <w:rPr>
          <w:i/>
          <w:lang w:val="en-US"/>
        </w:rPr>
        <w:t xml:space="preserve"> 1 (TPMI indicates a pre-coder), the dual-stage codebook shows ~4-6% and ~38-51% gain in avg. and 5% UPT respectively when compared with LTE UL codebook.</w:t>
      </w:r>
    </w:p>
    <w:p w14:paraId="1D061643" w14:textId="77777777" w:rsidR="00700E6C" w:rsidRPr="00700E6C" w:rsidRDefault="00700E6C" w:rsidP="00B31254">
      <w:pPr>
        <w:numPr>
          <w:ilvl w:val="0"/>
          <w:numId w:val="18"/>
        </w:numPr>
        <w:spacing w:before="60" w:after="60" w:line="288" w:lineRule="auto"/>
        <w:jc w:val="both"/>
        <w:rPr>
          <w:i/>
          <w:lang w:val="en-US"/>
        </w:rPr>
      </w:pPr>
      <w:r w:rsidRPr="00700E6C">
        <w:rPr>
          <w:i/>
          <w:lang w:val="en-US"/>
        </w:rPr>
        <w:t xml:space="preserve">For both 4-Tx and 8-Tx, </w:t>
      </w:r>
      <w:proofErr w:type="spellStart"/>
      <w:r w:rsidRPr="00700E6C">
        <w:rPr>
          <w:i/>
          <w:lang w:val="en-US"/>
        </w:rPr>
        <w:t>Config</w:t>
      </w:r>
      <w:proofErr w:type="spellEnd"/>
      <w:r w:rsidRPr="00700E6C">
        <w:rPr>
          <w:i/>
          <w:lang w:val="en-US"/>
        </w:rPr>
        <w:t xml:space="preserve"> 2 (TPMI indicates a pre-coder/beam group) exhibits significant performance gain over </w:t>
      </w:r>
      <w:proofErr w:type="spellStart"/>
      <w:r w:rsidRPr="00700E6C">
        <w:rPr>
          <w:i/>
          <w:lang w:val="en-US"/>
        </w:rPr>
        <w:t>Config</w:t>
      </w:r>
      <w:proofErr w:type="spellEnd"/>
      <w:r w:rsidRPr="00700E6C">
        <w:rPr>
          <w:i/>
          <w:lang w:val="en-US"/>
        </w:rPr>
        <w:t xml:space="preserve"> 1; ~19-27% and ~222-484% gain in avg. and 5% UPT respectively.</w:t>
      </w:r>
    </w:p>
    <w:p w14:paraId="0D90BED1" w14:textId="77777777" w:rsidR="00700E6C" w:rsidRPr="00700E6C" w:rsidRDefault="00700E6C" w:rsidP="00700E6C">
      <w:pPr>
        <w:spacing w:before="60" w:after="60" w:line="288" w:lineRule="auto"/>
        <w:ind w:firstLine="450"/>
        <w:jc w:val="both"/>
        <w:rPr>
          <w:lang w:val="en-US"/>
        </w:rPr>
      </w:pPr>
    </w:p>
    <w:p w14:paraId="5CA75697" w14:textId="77777777" w:rsidR="00F27D5E" w:rsidRDefault="00F27D5E" w:rsidP="00700E6C">
      <w:pPr>
        <w:keepNext/>
        <w:spacing w:before="60" w:after="60" w:line="288" w:lineRule="auto"/>
        <w:jc w:val="center"/>
        <w:sectPr w:rsidR="00F27D5E" w:rsidSect="00666C40">
          <w:headerReference w:type="default" r:id="rId22"/>
          <w:footnotePr>
            <w:numRestart w:val="eachSect"/>
          </w:footnotePr>
          <w:type w:val="continuous"/>
          <w:pgSz w:w="11907" w:h="16840" w:code="9"/>
          <w:pgMar w:top="1418" w:right="1134" w:bottom="1134" w:left="1134" w:header="680" w:footer="567" w:gutter="0"/>
          <w:cols w:space="720"/>
        </w:sectPr>
      </w:pPr>
    </w:p>
    <w:p w14:paraId="04F50D6E" w14:textId="5112E350" w:rsidR="00700E6C" w:rsidRPr="00700E6C" w:rsidRDefault="00700E6C" w:rsidP="00700E6C">
      <w:pPr>
        <w:keepNext/>
        <w:spacing w:before="60" w:after="60" w:line="288" w:lineRule="auto"/>
        <w:jc w:val="center"/>
      </w:pPr>
      <w:r w:rsidRPr="00700E6C">
        <w:rPr>
          <w:noProof/>
          <w:lang w:val="en-US"/>
        </w:rPr>
        <w:drawing>
          <wp:inline distT="0" distB="0" distL="0" distR="0" wp14:anchorId="44342153" wp14:editId="73FB0B06">
            <wp:extent cx="3003550" cy="2044700"/>
            <wp:effectExtent l="0" t="0" r="6350" b="1270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810DC99" w14:textId="77777777" w:rsidR="00700E6C" w:rsidRPr="00700E6C" w:rsidRDefault="00700E6C" w:rsidP="00700E6C">
      <w:pPr>
        <w:jc w:val="center"/>
        <w:rPr>
          <w:b/>
          <w:bCs/>
          <w:lang w:val="en-US"/>
        </w:rPr>
      </w:pPr>
      <w:bookmarkStart w:id="13" w:name="_Ref490062225"/>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E20F74">
        <w:rPr>
          <w:b/>
          <w:bCs/>
          <w:noProof/>
        </w:rPr>
        <w:t>11</w:t>
      </w:r>
      <w:r w:rsidRPr="00700E6C">
        <w:rPr>
          <w:b/>
          <w:bCs/>
        </w:rPr>
        <w:fldChar w:fldCharType="end"/>
      </w:r>
      <w:bookmarkEnd w:id="13"/>
      <w:r w:rsidRPr="00700E6C">
        <w:rPr>
          <w:b/>
          <w:bCs/>
        </w:rPr>
        <w:t>: 4Tx, Rank 1</w:t>
      </w:r>
    </w:p>
    <w:p w14:paraId="49EBB6CB" w14:textId="77777777" w:rsidR="00700E6C" w:rsidRPr="00700E6C" w:rsidRDefault="00700E6C" w:rsidP="00700E6C">
      <w:pPr>
        <w:keepNext/>
        <w:spacing w:before="60" w:after="60" w:line="288" w:lineRule="auto"/>
        <w:jc w:val="center"/>
      </w:pPr>
      <w:r w:rsidRPr="00700E6C">
        <w:rPr>
          <w:noProof/>
          <w:lang w:val="en-US"/>
        </w:rPr>
        <w:drawing>
          <wp:inline distT="0" distB="0" distL="0" distR="0" wp14:anchorId="5C6F30D9" wp14:editId="4606E654">
            <wp:extent cx="2946400" cy="2051050"/>
            <wp:effectExtent l="0" t="0" r="6350" b="635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2D06215" w14:textId="77777777" w:rsidR="00700E6C" w:rsidRPr="00700E6C" w:rsidRDefault="00700E6C" w:rsidP="00700E6C">
      <w:pPr>
        <w:jc w:val="center"/>
        <w:rPr>
          <w:b/>
          <w:bCs/>
        </w:rPr>
      </w:pPr>
      <w:bookmarkStart w:id="14" w:name="_Ref481707479"/>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E20F74">
        <w:rPr>
          <w:b/>
          <w:bCs/>
          <w:noProof/>
        </w:rPr>
        <w:t>12</w:t>
      </w:r>
      <w:r w:rsidRPr="00700E6C">
        <w:rPr>
          <w:b/>
          <w:bCs/>
        </w:rPr>
        <w:fldChar w:fldCharType="end"/>
      </w:r>
      <w:bookmarkEnd w:id="14"/>
      <w:r w:rsidRPr="00700E6C">
        <w:rPr>
          <w:b/>
          <w:bCs/>
        </w:rPr>
        <w:t>: 4Tx, Rank 2</w:t>
      </w:r>
    </w:p>
    <w:p w14:paraId="33F53D90" w14:textId="77777777" w:rsidR="00F27D5E" w:rsidRDefault="00F27D5E" w:rsidP="00700E6C">
      <w:pPr>
        <w:sectPr w:rsidR="00F27D5E" w:rsidSect="00F27D5E">
          <w:footnotePr>
            <w:numRestart w:val="eachSect"/>
          </w:footnotePr>
          <w:type w:val="continuous"/>
          <w:pgSz w:w="11907" w:h="16840" w:code="9"/>
          <w:pgMar w:top="1418" w:right="1134" w:bottom="1134" w:left="1134" w:header="680" w:footer="567" w:gutter="0"/>
          <w:cols w:num="2" w:space="720"/>
        </w:sectPr>
      </w:pPr>
    </w:p>
    <w:p w14:paraId="726235FB" w14:textId="30A5E3DB" w:rsidR="00700E6C" w:rsidRPr="00700E6C" w:rsidRDefault="00700E6C" w:rsidP="00700E6C">
      <w:pPr>
        <w:keepNext/>
        <w:spacing w:before="60" w:after="60" w:line="288" w:lineRule="auto"/>
        <w:jc w:val="center"/>
      </w:pPr>
      <w:r w:rsidRPr="00700E6C">
        <w:rPr>
          <w:noProof/>
          <w:lang w:val="en-US"/>
        </w:rPr>
        <w:drawing>
          <wp:inline distT="0" distB="0" distL="0" distR="0" wp14:anchorId="3493DD25" wp14:editId="0E694F66">
            <wp:extent cx="3009900" cy="1892105"/>
            <wp:effectExtent l="0" t="0" r="0" b="13335"/>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CBDD937" w14:textId="77777777" w:rsidR="00700E6C" w:rsidRPr="00700E6C" w:rsidRDefault="00700E6C" w:rsidP="00700E6C">
      <w:pPr>
        <w:jc w:val="center"/>
        <w:rPr>
          <w:b/>
          <w:bCs/>
        </w:rPr>
      </w:pPr>
      <w:bookmarkStart w:id="15" w:name="_Ref481707481"/>
      <w:r w:rsidRPr="00700E6C">
        <w:rPr>
          <w:b/>
          <w:bCs/>
        </w:rPr>
        <w:t xml:space="preserve">Figure </w:t>
      </w:r>
      <w:r w:rsidRPr="00700E6C">
        <w:rPr>
          <w:b/>
          <w:bCs/>
        </w:rPr>
        <w:fldChar w:fldCharType="begin"/>
      </w:r>
      <w:r w:rsidRPr="00700E6C">
        <w:rPr>
          <w:b/>
          <w:bCs/>
        </w:rPr>
        <w:instrText xml:space="preserve"> SEQ Figure \* ARABIC </w:instrText>
      </w:r>
      <w:r w:rsidRPr="00700E6C">
        <w:rPr>
          <w:b/>
          <w:bCs/>
        </w:rPr>
        <w:fldChar w:fldCharType="separate"/>
      </w:r>
      <w:r w:rsidR="00E20F74">
        <w:rPr>
          <w:b/>
          <w:bCs/>
          <w:noProof/>
        </w:rPr>
        <w:t>13</w:t>
      </w:r>
      <w:r w:rsidRPr="00700E6C">
        <w:rPr>
          <w:b/>
          <w:bCs/>
        </w:rPr>
        <w:fldChar w:fldCharType="end"/>
      </w:r>
      <w:bookmarkEnd w:id="15"/>
      <w:r w:rsidRPr="00700E6C">
        <w:rPr>
          <w:b/>
          <w:bCs/>
        </w:rPr>
        <w:t>: 8Tx, Rank 1</w:t>
      </w:r>
    </w:p>
    <w:p w14:paraId="5A42F6B5" w14:textId="77777777" w:rsidR="00700E6C" w:rsidRPr="00700E6C" w:rsidRDefault="00700E6C" w:rsidP="00700E6C">
      <w:pPr>
        <w:keepNext/>
        <w:spacing w:before="60" w:after="60" w:line="288" w:lineRule="auto"/>
        <w:jc w:val="center"/>
      </w:pPr>
      <w:r w:rsidRPr="00700E6C">
        <w:rPr>
          <w:noProof/>
          <w:lang w:val="en-US"/>
        </w:rPr>
        <w:drawing>
          <wp:inline distT="0" distB="0" distL="0" distR="0" wp14:anchorId="7CDB61CE" wp14:editId="757E6EB0">
            <wp:extent cx="2959100" cy="1885071"/>
            <wp:effectExtent l="0" t="0" r="12700" b="1270"/>
            <wp:docPr id="1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985F391" w14:textId="55FF74E4" w:rsidR="00700E6C" w:rsidRPr="00700E6C" w:rsidRDefault="00700E6C" w:rsidP="00700E6C">
      <w:pPr>
        <w:jc w:val="center"/>
        <w:rPr>
          <w:b/>
        </w:rPr>
      </w:pPr>
      <w:bookmarkStart w:id="16" w:name="_Ref481707483"/>
      <w:r w:rsidRPr="00700E6C">
        <w:rPr>
          <w:b/>
        </w:rPr>
        <w:t xml:space="preserve">Figure </w:t>
      </w:r>
      <w:r w:rsidRPr="00700E6C">
        <w:rPr>
          <w:b/>
        </w:rPr>
        <w:fldChar w:fldCharType="begin"/>
      </w:r>
      <w:r w:rsidRPr="00700E6C">
        <w:rPr>
          <w:b/>
        </w:rPr>
        <w:instrText xml:space="preserve"> SEQ Figure \* ARABIC </w:instrText>
      </w:r>
      <w:r w:rsidRPr="00700E6C">
        <w:rPr>
          <w:b/>
        </w:rPr>
        <w:fldChar w:fldCharType="separate"/>
      </w:r>
      <w:r w:rsidR="00E20F74">
        <w:rPr>
          <w:b/>
          <w:noProof/>
        </w:rPr>
        <w:t>14</w:t>
      </w:r>
      <w:r w:rsidRPr="00700E6C">
        <w:rPr>
          <w:b/>
        </w:rPr>
        <w:fldChar w:fldCharType="end"/>
      </w:r>
      <w:bookmarkEnd w:id="16"/>
      <w:r w:rsidRPr="00700E6C">
        <w:rPr>
          <w:b/>
        </w:rPr>
        <w:t>: 8Tx, Rank 2</w:t>
      </w:r>
    </w:p>
    <w:p w14:paraId="64DDDA9E" w14:textId="77777777" w:rsidR="00F301CA" w:rsidRDefault="00F301CA" w:rsidP="00B31254">
      <w:pPr>
        <w:pStyle w:val="Heading2"/>
        <w:numPr>
          <w:ilvl w:val="0"/>
          <w:numId w:val="21"/>
        </w:numPr>
        <w:rPr>
          <w:sz w:val="28"/>
          <w:lang w:val="en-US"/>
        </w:rPr>
        <w:sectPr w:rsidR="00F301CA" w:rsidSect="00F301CA">
          <w:footnotePr>
            <w:numRestart w:val="eachSect"/>
          </w:footnotePr>
          <w:type w:val="continuous"/>
          <w:pgSz w:w="11907" w:h="16840" w:code="9"/>
          <w:pgMar w:top="1418" w:right="1134" w:bottom="1134" w:left="1134" w:header="680" w:footer="567" w:gutter="0"/>
          <w:cols w:num="2" w:space="720"/>
        </w:sectPr>
      </w:pPr>
    </w:p>
    <w:p w14:paraId="50484890" w14:textId="4A922D3A" w:rsidR="00234252" w:rsidRPr="008E3105" w:rsidRDefault="00234252" w:rsidP="00B31254">
      <w:pPr>
        <w:pStyle w:val="Heading2"/>
        <w:numPr>
          <w:ilvl w:val="0"/>
          <w:numId w:val="21"/>
        </w:numPr>
        <w:rPr>
          <w:sz w:val="28"/>
          <w:lang w:val="en-US"/>
        </w:rPr>
      </w:pPr>
      <w:r w:rsidRPr="008E3105">
        <w:rPr>
          <w:sz w:val="28"/>
          <w:lang w:val="en-US"/>
        </w:rPr>
        <w:t>Conclusions</w:t>
      </w:r>
    </w:p>
    <w:p w14:paraId="0365A424" w14:textId="2AACCB91" w:rsidR="00A30119" w:rsidRPr="008E3105" w:rsidRDefault="00E468B7" w:rsidP="00BA0488">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7352A5" w:rsidRPr="008E3105">
        <w:rPr>
          <w:lang w:val="en-US" w:eastAsia="ko-KR"/>
        </w:rPr>
        <w:t xml:space="preserve">Our </w:t>
      </w:r>
      <w:r w:rsidR="007352A5" w:rsidRPr="008E3105">
        <w:rPr>
          <w:b/>
          <w:u w:val="single"/>
          <w:lang w:val="en-US" w:eastAsia="ko-KR"/>
        </w:rPr>
        <w:t>proposals</w:t>
      </w:r>
      <w:r w:rsidR="007352A5" w:rsidRPr="008E3105">
        <w:rPr>
          <w:lang w:val="en-US" w:eastAsia="ko-KR"/>
        </w:rPr>
        <w:t xml:space="preserve"> are summarized as follows</w:t>
      </w:r>
      <w:r w:rsidR="00AC76CF" w:rsidRPr="008E3105">
        <w:rPr>
          <w:i/>
          <w:lang w:val="en-US"/>
        </w:rPr>
        <w:t>:</w:t>
      </w:r>
    </w:p>
    <w:p w14:paraId="4673FB90" w14:textId="6B8C22B2" w:rsidR="002854F0" w:rsidRDefault="002854F0" w:rsidP="00B31254">
      <w:pPr>
        <w:pStyle w:val="ListParagraph"/>
        <w:numPr>
          <w:ilvl w:val="0"/>
          <w:numId w:val="8"/>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B31254">
      <w:pPr>
        <w:pStyle w:val="ListParagraph"/>
        <w:numPr>
          <w:ilvl w:val="1"/>
          <w:numId w:val="8"/>
        </w:numPr>
        <w:spacing w:before="60" w:after="60" w:line="288" w:lineRule="auto"/>
        <w:ind w:leftChars="0"/>
        <w:jc w:val="both"/>
        <w:rPr>
          <w:i/>
          <w:lang w:val="en-US"/>
        </w:rPr>
      </w:pPr>
      <w:r>
        <w:rPr>
          <w:i/>
          <w:lang w:val="en-US"/>
        </w:rPr>
        <w:lastRenderedPageBreak/>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B31254">
      <w:pPr>
        <w:pStyle w:val="ListParagraph"/>
        <w:numPr>
          <w:ilvl w:val="0"/>
          <w:numId w:val="8"/>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B31254">
      <w:pPr>
        <w:pStyle w:val="ListParagraph"/>
        <w:numPr>
          <w:ilvl w:val="1"/>
          <w:numId w:val="8"/>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B31254">
      <w:pPr>
        <w:pStyle w:val="ListParagraph"/>
        <w:numPr>
          <w:ilvl w:val="0"/>
          <w:numId w:val="8"/>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B31254">
      <w:pPr>
        <w:pStyle w:val="ListParagraph"/>
        <w:numPr>
          <w:ilvl w:val="1"/>
          <w:numId w:val="8"/>
        </w:numPr>
        <w:spacing w:before="60" w:after="60" w:line="288" w:lineRule="auto"/>
        <w:ind w:leftChars="0"/>
        <w:jc w:val="both"/>
        <w:rPr>
          <w:i/>
          <w:lang w:val="en-US"/>
        </w:rPr>
      </w:pPr>
      <w:r w:rsidRPr="002854F0">
        <w:rPr>
          <w:i/>
          <w:lang w:val="en-US"/>
        </w:rPr>
        <w:t xml:space="preserve">The “subband” size for each of the TPMIs is determined based on UL resource allocation  </w:t>
      </w:r>
    </w:p>
    <w:p w14:paraId="1C403261" w14:textId="42DE4DF8" w:rsidR="00E57442" w:rsidRPr="00936D97" w:rsidRDefault="00E57442" w:rsidP="00B31254">
      <w:pPr>
        <w:pStyle w:val="ListParagraph"/>
        <w:numPr>
          <w:ilvl w:val="0"/>
          <w:numId w:val="8"/>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0C48D5B0" w14:textId="77777777" w:rsidR="00D84744" w:rsidRPr="008E3105" w:rsidRDefault="00D84744" w:rsidP="00B31254">
      <w:pPr>
        <w:pStyle w:val="maintext"/>
        <w:numPr>
          <w:ilvl w:val="0"/>
          <w:numId w:val="8"/>
        </w:numPr>
        <w:ind w:firstLineChars="0"/>
        <w:rPr>
          <w:i/>
          <w:lang w:val="en-US"/>
        </w:rPr>
      </w:pPr>
      <w:r w:rsidRPr="008E3105">
        <w:rPr>
          <w:i/>
          <w:lang w:val="en-US"/>
        </w:rPr>
        <w:t xml:space="preserve">CP-OFDM waveform is used </w:t>
      </w:r>
      <w:r>
        <w:rPr>
          <w:i/>
          <w:lang w:val="en-US"/>
        </w:rPr>
        <w:t>with</w:t>
      </w:r>
      <w:r w:rsidRPr="008E3105">
        <w:rPr>
          <w:i/>
          <w:lang w:val="en-US"/>
        </w:rPr>
        <w:t xml:space="preserve"> rank-adapted transmission irrespective of the rank </w:t>
      </w:r>
    </w:p>
    <w:p w14:paraId="613A74DC" w14:textId="77777777" w:rsidR="00D84744" w:rsidRPr="008E3105" w:rsidRDefault="00D84744" w:rsidP="00B31254">
      <w:pPr>
        <w:pStyle w:val="maintext"/>
        <w:numPr>
          <w:ilvl w:val="1"/>
          <w:numId w:val="8"/>
        </w:numPr>
        <w:ind w:firstLineChars="0"/>
        <w:rPr>
          <w:i/>
          <w:lang w:val="en-US"/>
        </w:rPr>
      </w:pPr>
      <w:r w:rsidRPr="008E3105">
        <w:rPr>
          <w:i/>
          <w:lang w:val="en-US"/>
        </w:rPr>
        <w:t>Single-stream SC-FDMA-based transmission can be supported as a fallback transmission scheme, enabled via a compact UL-related DCI.</w:t>
      </w:r>
    </w:p>
    <w:p w14:paraId="4E1FE848" w14:textId="271F7954" w:rsidR="0010733A" w:rsidRDefault="0010733A" w:rsidP="00B31254">
      <w:pPr>
        <w:pStyle w:val="maintext"/>
        <w:numPr>
          <w:ilvl w:val="0"/>
          <w:numId w:val="8"/>
        </w:numPr>
        <w:spacing w:after="120"/>
        <w:ind w:firstLineChars="0"/>
        <w:rPr>
          <w:i/>
        </w:rPr>
      </w:pPr>
      <w:r>
        <w:rPr>
          <w:i/>
        </w:rPr>
        <w:t>For rank-1 transmission, support configurable antenna turn-off in NR UL codebook design</w:t>
      </w:r>
    </w:p>
    <w:p w14:paraId="6282C72D" w14:textId="007FBFC9" w:rsidR="0010733A" w:rsidRPr="0010733A" w:rsidRDefault="0010733A" w:rsidP="00B31254">
      <w:pPr>
        <w:pStyle w:val="maintext"/>
        <w:numPr>
          <w:ilvl w:val="1"/>
          <w:numId w:val="8"/>
        </w:numPr>
        <w:spacing w:after="120"/>
        <w:ind w:firstLineChars="0"/>
        <w:rPr>
          <w:i/>
        </w:rPr>
      </w:pPr>
      <w:r>
        <w:rPr>
          <w:i/>
        </w:rPr>
        <w:t>Only applicable when DFT-S-OFDM waveform is used</w:t>
      </w:r>
    </w:p>
    <w:p w14:paraId="30493662" w14:textId="04F429E7" w:rsidR="006A4CEE" w:rsidRPr="00652179" w:rsidRDefault="006A4CEE" w:rsidP="00B31254">
      <w:pPr>
        <w:pStyle w:val="maintext"/>
        <w:numPr>
          <w:ilvl w:val="0"/>
          <w:numId w:val="8"/>
        </w:numPr>
        <w:spacing w:after="120"/>
        <w:ind w:firstLineChars="0"/>
        <w:rPr>
          <w:i/>
        </w:rPr>
      </w:pPr>
      <w:r w:rsidRPr="00652179">
        <w:rPr>
          <w:i/>
        </w:rPr>
        <w:t xml:space="preserve">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734775">
        <w:rPr>
          <w:i/>
        </w:rPr>
        <w:t xml:space="preserve">the first stage codebook </w:t>
      </w:r>
      <w:r w:rsidRPr="00734775">
        <w:rPr>
          <w:b/>
          <w:i/>
        </w:rPr>
        <w:t>W</w:t>
      </w:r>
      <w:r w:rsidRPr="00734775">
        <w:rPr>
          <w:i/>
          <w:vertAlign w:val="subscript"/>
        </w:rPr>
        <w:t>1</w:t>
      </w:r>
      <w:r w:rsidRPr="00734775">
        <w:rPr>
          <w:i/>
        </w:rPr>
        <w:t xml:space="preserve"> is used to </w:t>
      </w:r>
      <w:r>
        <w:rPr>
          <w:i/>
        </w:rPr>
        <w:t>select a</w:t>
      </w:r>
      <w:r w:rsidRPr="00734775">
        <w:rPr>
          <w:i/>
        </w:rPr>
        <w:t xml:space="preserve"> pre</w:t>
      </w:r>
      <w:r w:rsidR="00BE3854">
        <w:rPr>
          <w:i/>
        </w:rPr>
        <w:t>-</w:t>
      </w:r>
      <w:r w:rsidRPr="00734775">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BE3854">
        <w:rPr>
          <w:i/>
        </w:rPr>
        <w:t>-</w:t>
      </w:r>
      <w:r>
        <w:rPr>
          <w:i/>
        </w:rPr>
        <w:t>coder from the selected pre</w:t>
      </w:r>
      <w:r w:rsidR="00BE3854">
        <w:rPr>
          <w:i/>
        </w:rPr>
        <w:t>-</w:t>
      </w:r>
      <w:r>
        <w:rPr>
          <w:i/>
        </w:rPr>
        <w:t>coder group</w:t>
      </w:r>
      <w:r w:rsidRPr="00652179">
        <w:rPr>
          <w:i/>
        </w:rPr>
        <w:t xml:space="preserve">. </w:t>
      </w:r>
    </w:p>
    <w:p w14:paraId="03B8129D" w14:textId="182AD575" w:rsidR="006A4CEE" w:rsidRDefault="006A4CEE" w:rsidP="00B31254">
      <w:pPr>
        <w:pStyle w:val="maintext"/>
        <w:numPr>
          <w:ilvl w:val="1"/>
          <w:numId w:val="13"/>
        </w:numPr>
        <w:spacing w:after="120"/>
        <w:ind w:firstLineChars="0"/>
        <w:rPr>
          <w:i/>
        </w:rPr>
      </w:pPr>
      <w:r>
        <w:rPr>
          <w:i/>
        </w:rPr>
        <w:t xml:space="preserve">For TS2, </w:t>
      </w:r>
      <w:r w:rsidRPr="00734775">
        <w:rPr>
          <w:b/>
          <w:i/>
        </w:rPr>
        <w:t>W</w:t>
      </w:r>
      <w:r w:rsidRPr="00734775">
        <w:rPr>
          <w:i/>
          <w:vertAlign w:val="subscript"/>
        </w:rPr>
        <w:t>1</w:t>
      </w:r>
      <w:r>
        <w:rPr>
          <w:i/>
        </w:rPr>
        <w:t xml:space="preserve"> codebook is used, and for TS1, both </w:t>
      </w:r>
      <w:r w:rsidRPr="00734775">
        <w:rPr>
          <w:b/>
          <w:i/>
        </w:rPr>
        <w:t>W</w:t>
      </w:r>
      <w:r w:rsidRPr="00734775">
        <w:rPr>
          <w:i/>
          <w:vertAlign w:val="subscript"/>
        </w:rPr>
        <w:t>1</w:t>
      </w:r>
      <w:r>
        <w:rPr>
          <w:i/>
        </w:rPr>
        <w:t xml:space="preserve"> and </w:t>
      </w:r>
      <w:r w:rsidRPr="00734775">
        <w:rPr>
          <w:b/>
          <w:i/>
        </w:rPr>
        <w:t>W</w:t>
      </w:r>
      <w:r w:rsidRPr="00734775">
        <w:rPr>
          <w:i/>
          <w:vertAlign w:val="subscript"/>
        </w:rPr>
        <w:t>2</w:t>
      </w:r>
      <w:r>
        <w:rPr>
          <w:i/>
        </w:rPr>
        <w:t xml:space="preserve"> codebooks are used.</w:t>
      </w:r>
    </w:p>
    <w:p w14:paraId="47AECFAD" w14:textId="75E37D06" w:rsidR="006A4CEE" w:rsidRPr="00A75577" w:rsidRDefault="006A4CEE" w:rsidP="00B31254">
      <w:pPr>
        <w:pStyle w:val="maintext"/>
        <w:numPr>
          <w:ilvl w:val="1"/>
          <w:numId w:val="13"/>
        </w:numPr>
        <w:spacing w:after="120"/>
        <w:ind w:firstLineChars="0"/>
        <w:rPr>
          <w:i/>
        </w:rPr>
      </w:pPr>
      <w:r w:rsidRPr="00A75577">
        <w:rPr>
          <w:i/>
        </w:rPr>
        <w:t>When antenna turn-off is not configured, then pre</w:t>
      </w:r>
      <w:r w:rsidR="00BE3854">
        <w:rPr>
          <w:i/>
        </w:rPr>
        <w:t>-</w:t>
      </w:r>
      <w:r w:rsidRPr="00A75577">
        <w:rPr>
          <w:i/>
        </w:rPr>
        <w:t>coder grouping is based on correlation. Otherwise, it is such that pre</w:t>
      </w:r>
      <w:r w:rsidR="00BE3854">
        <w:rPr>
          <w:i/>
        </w:rPr>
        <w:t>-</w:t>
      </w:r>
      <w:r w:rsidRPr="00A75577">
        <w:rPr>
          <w:i/>
        </w:rPr>
        <w:t>coders hav</w:t>
      </w:r>
      <w:r>
        <w:rPr>
          <w:i/>
        </w:rPr>
        <w:t>ing</w:t>
      </w:r>
      <w:r w:rsidRPr="00A75577">
        <w:rPr>
          <w:i/>
        </w:rPr>
        <w:t xml:space="preserve"> zeros at the same entries form a group.</w:t>
      </w:r>
    </w:p>
    <w:p w14:paraId="1861F3FF" w14:textId="0D6C7E7D" w:rsidR="006A4CEE" w:rsidRPr="00A75577" w:rsidRDefault="006A4CEE" w:rsidP="00B31254">
      <w:pPr>
        <w:pStyle w:val="maintext"/>
        <w:numPr>
          <w:ilvl w:val="1"/>
          <w:numId w:val="13"/>
        </w:numPr>
        <w:spacing w:after="120"/>
        <w:ind w:firstLineChars="0"/>
        <w:rPr>
          <w:i/>
        </w:rPr>
      </w:pPr>
      <w:r>
        <w:rPr>
          <w:i/>
        </w:rPr>
        <w:t>C</w:t>
      </w:r>
      <w:r w:rsidRPr="00A75577">
        <w:rPr>
          <w:i/>
        </w:rPr>
        <w:t>onsider LTE UL codebook for 2 and 4 ports, and NR</w:t>
      </w:r>
      <w:r w:rsidR="007F6E64">
        <w:rPr>
          <w:i/>
        </w:rPr>
        <w:t xml:space="preserve"> Type I CSI codebook for 2, 4, and 8</w:t>
      </w:r>
      <w:r w:rsidRPr="00A75577">
        <w:rPr>
          <w:i/>
        </w:rPr>
        <w:t xml:space="preserve"> ports, </w:t>
      </w:r>
      <w:r w:rsidR="00712D0F">
        <w:rPr>
          <w:i/>
        </w:rPr>
        <w:t>agreed</w:t>
      </w:r>
      <w:r w:rsidRPr="00A75577">
        <w:rPr>
          <w:i/>
        </w:rPr>
        <w:t xml:space="preserve"> in [</w:t>
      </w:r>
      <w:r w:rsidR="00712D0F">
        <w:rPr>
          <w:i/>
        </w:rPr>
        <w:t>3</w:t>
      </w:r>
      <w:r w:rsidRPr="00A75577">
        <w:rPr>
          <w:i/>
        </w:rPr>
        <w:t>].</w:t>
      </w:r>
    </w:p>
    <w:p w14:paraId="45A0991C" w14:textId="77777777" w:rsidR="00C43743" w:rsidRPr="00C43743" w:rsidRDefault="0062063C" w:rsidP="00B31254">
      <w:pPr>
        <w:pStyle w:val="ListParagraph"/>
        <w:numPr>
          <w:ilvl w:val="0"/>
          <w:numId w:val="13"/>
        </w:numPr>
        <w:spacing w:before="60" w:after="120" w:line="288" w:lineRule="auto"/>
        <w:ind w:leftChars="0"/>
        <w:rPr>
          <w:i/>
          <w:iCs/>
          <w:lang w:eastAsia="ko-KR"/>
        </w:rPr>
      </w:pPr>
      <w:r w:rsidRPr="0062063C">
        <w:rPr>
          <w:i/>
          <w:iCs/>
          <w:lang w:eastAsia="ko-KR"/>
        </w:rPr>
        <w:t>If UL codebook is the same as DL codebook for Type I CSI, then codebook parameters,</w:t>
      </w:r>
      <w:r w:rsidRPr="0062063C">
        <w:rPr>
          <w:b/>
          <w:i/>
          <w:iCs/>
          <w:lang w:eastAsia="ko-KR"/>
        </w:rPr>
        <w:t xml:space="preserve"> </w:t>
      </w:r>
      <w:r w:rsidRPr="0062063C">
        <w:rPr>
          <w:i/>
        </w:rPr>
        <w:t>(N</w:t>
      </w:r>
      <w:r w:rsidRPr="0062063C">
        <w:rPr>
          <w:i/>
          <w:vertAlign w:val="subscript"/>
        </w:rPr>
        <w:t>1</w:t>
      </w:r>
      <w:r w:rsidRPr="0062063C">
        <w:rPr>
          <w:i/>
        </w:rPr>
        <w:t>, N</w:t>
      </w:r>
      <w:r w:rsidRPr="0062063C">
        <w:rPr>
          <w:i/>
          <w:vertAlign w:val="subscript"/>
        </w:rPr>
        <w:t>2</w:t>
      </w:r>
      <w:r w:rsidRPr="0062063C">
        <w:rPr>
          <w:i/>
        </w:rPr>
        <w:t>) and (O</w:t>
      </w:r>
      <w:r w:rsidRPr="0062063C">
        <w:rPr>
          <w:i/>
          <w:vertAlign w:val="subscript"/>
        </w:rPr>
        <w:t>1</w:t>
      </w:r>
      <w:r w:rsidRPr="0062063C">
        <w:rPr>
          <w:i/>
        </w:rPr>
        <w:t>, O</w:t>
      </w:r>
      <w:r w:rsidRPr="0062063C">
        <w:rPr>
          <w:i/>
          <w:vertAlign w:val="subscript"/>
        </w:rPr>
        <w:t>2</w:t>
      </w:r>
      <w:r w:rsidRPr="0062063C">
        <w:rPr>
          <w:i/>
        </w:rPr>
        <w:t xml:space="preserve">) are fixed. The number of pre-coders/beams (L value) that form a </w:t>
      </w:r>
      <w:r w:rsidRPr="0062063C">
        <w:rPr>
          <w:b/>
          <w:i/>
        </w:rPr>
        <w:t>W</w:t>
      </w:r>
      <w:r w:rsidRPr="0062063C">
        <w:rPr>
          <w:i/>
          <w:vertAlign w:val="subscript"/>
        </w:rPr>
        <w:t>1</w:t>
      </w:r>
      <w:r w:rsidRPr="0062063C">
        <w:rPr>
          <w:i/>
        </w:rPr>
        <w:t xml:space="preserve"> group, however, is configured to the UE.</w:t>
      </w:r>
    </w:p>
    <w:p w14:paraId="53CB207C" w14:textId="77777777" w:rsidR="000B5185" w:rsidRPr="000B5185" w:rsidRDefault="000B5185" w:rsidP="00B31254">
      <w:pPr>
        <w:pStyle w:val="ListParagraph"/>
        <w:numPr>
          <w:ilvl w:val="0"/>
          <w:numId w:val="13"/>
        </w:numPr>
        <w:spacing w:before="60" w:after="60" w:line="288" w:lineRule="auto"/>
        <w:ind w:leftChars="0"/>
        <w:jc w:val="both"/>
        <w:rPr>
          <w:b/>
          <w:lang w:val="en-US"/>
        </w:rPr>
      </w:pPr>
      <w:r w:rsidRPr="000B5185">
        <w:rPr>
          <w:i/>
          <w:lang w:val="en-US"/>
        </w:rPr>
        <w:t xml:space="preserve">Support the following extension of codebook/TPMI-based transmission scheme via two configurations of TPMI: </w:t>
      </w:r>
    </w:p>
    <w:p w14:paraId="32AA26B7" w14:textId="77777777" w:rsidR="000B5185" w:rsidRPr="000617E5" w:rsidRDefault="000B5185" w:rsidP="00B31254">
      <w:pPr>
        <w:pStyle w:val="ListParagraph"/>
        <w:numPr>
          <w:ilvl w:val="1"/>
          <w:numId w:val="13"/>
        </w:numPr>
        <w:spacing w:before="60" w:after="60" w:line="288" w:lineRule="auto"/>
        <w:ind w:leftChars="0"/>
        <w:jc w:val="both"/>
        <w:rPr>
          <w:b/>
          <w:lang w:val="en-US"/>
        </w:rPr>
      </w:pPr>
      <w:proofErr w:type="spellStart"/>
      <w:r w:rsidRPr="000617E5">
        <w:rPr>
          <w:i/>
          <w:lang w:val="en-US"/>
        </w:rPr>
        <w:t>Config</w:t>
      </w:r>
      <w:proofErr w:type="spellEnd"/>
      <w:r w:rsidRPr="000617E5">
        <w:rPr>
          <w:i/>
          <w:lang w:val="en-US"/>
        </w:rPr>
        <w:t xml:space="preserve"> 1: TPMI+TRI indicates precoder from a codebook</w:t>
      </w:r>
    </w:p>
    <w:p w14:paraId="449C0303"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“LTE-like” transmission scheme</w:t>
      </w:r>
    </w:p>
    <w:p w14:paraId="302C5D56" w14:textId="77777777" w:rsidR="000B5185" w:rsidRPr="000617E5" w:rsidRDefault="000B5185" w:rsidP="00B31254">
      <w:pPr>
        <w:pStyle w:val="ListParagraph"/>
        <w:numPr>
          <w:ilvl w:val="1"/>
          <w:numId w:val="13"/>
        </w:numPr>
        <w:spacing w:before="60" w:after="60" w:line="288" w:lineRule="auto"/>
        <w:ind w:leftChars="0"/>
        <w:jc w:val="both"/>
        <w:rPr>
          <w:i/>
          <w:lang w:val="en-US"/>
        </w:rPr>
      </w:pPr>
      <w:proofErr w:type="spellStart"/>
      <w:r w:rsidRPr="000617E5">
        <w:rPr>
          <w:i/>
          <w:lang w:val="en-US"/>
        </w:rPr>
        <w:t>Config</w:t>
      </w:r>
      <w:proofErr w:type="spellEnd"/>
      <w:r w:rsidRPr="000617E5">
        <w:rPr>
          <w:i/>
          <w:lang w:val="en-US"/>
        </w:rPr>
        <w:t xml:space="preserve"> 2 (extension): TPMI+TRI indicates precoder subset/group from a codebook </w:t>
      </w:r>
    </w:p>
    <w:p w14:paraId="31057E84"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 xml:space="preserve">Can be used with CSI-RS when DL-UL channel reciprocity is feasible </w:t>
      </w:r>
    </w:p>
    <w:p w14:paraId="3AD3525D"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With dual-stage codebook (</w:t>
      </w:r>
      <m:oMath>
        <m:r>
          <w:rPr>
            <w:rFonts w:ascii="Cambria Math" w:hAnsi="Cambria Math"/>
            <w:lang w:val="en-US"/>
          </w:rPr>
          <m:t>W=</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rPr>
            </m:ctrlPr>
          </m:sSubPr>
          <m:e>
            <m:r>
              <w:rPr>
                <w:rFonts w:ascii="Cambria Math" w:hAnsi="Cambria Math"/>
                <w:lang w:val="en-US"/>
              </w:rPr>
              <m:t>W</m:t>
            </m:r>
          </m:e>
          <m:sub>
            <m:r>
              <w:rPr>
                <w:rFonts w:ascii="Cambria Math" w:hAnsi="Cambria Math"/>
                <w:lang w:val="en-US"/>
              </w:rPr>
              <m:t>2</m:t>
            </m:r>
          </m:sub>
        </m:sSub>
      </m:oMath>
      <w:r w:rsidRPr="000617E5">
        <w:rPr>
          <w:i/>
          <w:lang w:val="en-US"/>
        </w:rPr>
        <w:t>),</w:t>
      </w:r>
      <m:oMath>
        <m:r>
          <w:rPr>
            <w:rFonts w:ascii="Cambria Math" w:hAnsi="Cambria Math"/>
            <w:lang w:val="en-US"/>
          </w:rPr>
          <m:t xml:space="preserve"> </m:t>
        </m:r>
        <m:sSub>
          <m:sSubPr>
            <m:ctrlPr>
              <w:rPr>
                <w:rFonts w:ascii="Cambria Math" w:hAnsi="Cambria Math"/>
                <w:i/>
              </w:rPr>
            </m:ctrlPr>
          </m:sSubPr>
          <m:e>
            <m:r>
              <w:rPr>
                <w:rFonts w:ascii="Cambria Math" w:hAnsi="Cambria Math"/>
                <w:lang w:val="en-US"/>
              </w:rPr>
              <m:t>W</m:t>
            </m:r>
          </m:e>
          <m:sub>
            <m:r>
              <w:rPr>
                <w:rFonts w:ascii="Cambria Math" w:hAnsi="Cambria Math"/>
                <w:lang w:val="en-US"/>
              </w:rPr>
              <m:t>1</m:t>
            </m:r>
          </m:sub>
        </m:sSub>
      </m:oMath>
      <w:r w:rsidRPr="000617E5">
        <w:rPr>
          <w:i/>
          <w:lang w:val="en-US"/>
        </w:rPr>
        <w:t xml:space="preserve"> index can be used</w:t>
      </w:r>
    </w:p>
    <w:p w14:paraId="580B8D67" w14:textId="77777777" w:rsidR="000B5185" w:rsidRPr="000617E5" w:rsidRDefault="000B5185" w:rsidP="00B31254">
      <w:pPr>
        <w:pStyle w:val="ListParagraph"/>
        <w:numPr>
          <w:ilvl w:val="2"/>
          <w:numId w:val="13"/>
        </w:numPr>
        <w:spacing w:before="60" w:after="60" w:line="288" w:lineRule="auto"/>
        <w:ind w:leftChars="0"/>
        <w:jc w:val="both"/>
        <w:rPr>
          <w:i/>
          <w:lang w:val="en-US"/>
        </w:rPr>
      </w:pPr>
      <w:r w:rsidRPr="000617E5">
        <w:rPr>
          <w:i/>
          <w:lang w:val="en-US"/>
        </w:rPr>
        <w:t>Maximum gain is attained with the use of “hybrid” SRS, i.e. a concurrent use of non-</w:t>
      </w:r>
      <w:proofErr w:type="spellStart"/>
      <w:r w:rsidRPr="000617E5">
        <w:rPr>
          <w:i/>
          <w:lang w:val="en-US"/>
        </w:rPr>
        <w:t>precoded</w:t>
      </w:r>
      <w:proofErr w:type="spellEnd"/>
      <w:r w:rsidRPr="000617E5">
        <w:rPr>
          <w:i/>
          <w:lang w:val="en-US"/>
        </w:rPr>
        <w:t xml:space="preserve"> SRS and </w:t>
      </w:r>
      <w:proofErr w:type="spellStart"/>
      <w:r w:rsidRPr="000617E5">
        <w:rPr>
          <w:i/>
          <w:lang w:val="en-US"/>
        </w:rPr>
        <w:t>precoded</w:t>
      </w:r>
      <w:proofErr w:type="spellEnd"/>
      <w:r w:rsidRPr="000617E5">
        <w:rPr>
          <w:i/>
          <w:lang w:val="en-US"/>
        </w:rPr>
        <w:t xml:space="preserve"> SRS (analogous to hybrid CSI-RS)</w:t>
      </w:r>
    </w:p>
    <w:p w14:paraId="362445D8" w14:textId="77777777" w:rsidR="000B5185" w:rsidRDefault="000B5185" w:rsidP="00B31254">
      <w:pPr>
        <w:pStyle w:val="maintext"/>
        <w:numPr>
          <w:ilvl w:val="0"/>
          <w:numId w:val="13"/>
        </w:numPr>
        <w:ind w:firstLineChars="0"/>
        <w:rPr>
          <w:i/>
          <w:lang w:val="en-US"/>
        </w:rPr>
      </w:pPr>
      <w:r>
        <w:rPr>
          <w:i/>
          <w:lang w:val="en-US"/>
        </w:rPr>
        <w:t>Two different TPMI functionalities (e.g. precoder and precoder group indication for single TPMI, “subband” precoder and “subband” UL interference profile for multiple TPMIs) can be either semi-statically (RRC) or dynamically (DCI) switched</w:t>
      </w:r>
    </w:p>
    <w:p w14:paraId="28983C59" w14:textId="77777777" w:rsidR="000B5185" w:rsidRPr="00503531" w:rsidRDefault="000B5185" w:rsidP="00B31254">
      <w:pPr>
        <w:pStyle w:val="ListParagraph"/>
        <w:numPr>
          <w:ilvl w:val="1"/>
          <w:numId w:val="13"/>
        </w:numPr>
        <w:ind w:leftChars="0"/>
        <w:rPr>
          <w:lang w:val="en-US" w:eastAsia="ko-KR"/>
        </w:rPr>
      </w:pPr>
      <w:r w:rsidRPr="00503531">
        <w:rPr>
          <w:i/>
          <w:lang w:val="en-US"/>
        </w:rPr>
        <w:t>FFS between RRC and DCI</w:t>
      </w:r>
    </w:p>
    <w:p w14:paraId="4C597F5D" w14:textId="24632207" w:rsidR="0062063C" w:rsidRPr="00C43743" w:rsidRDefault="00C43743" w:rsidP="00B31254">
      <w:pPr>
        <w:pStyle w:val="ListParagraph"/>
        <w:keepNext/>
        <w:numPr>
          <w:ilvl w:val="0"/>
          <w:numId w:val="13"/>
        </w:numPr>
        <w:spacing w:before="60" w:after="120" w:line="288" w:lineRule="auto"/>
        <w:ind w:leftChars="0"/>
        <w:rPr>
          <w:i/>
          <w:iCs/>
          <w:lang w:eastAsia="ko-KR"/>
        </w:rPr>
      </w:pPr>
      <w:r w:rsidRPr="00C43743">
        <w:rPr>
          <w:i/>
          <w:iCs/>
          <w:lang w:eastAsia="ko-KR"/>
        </w:rPr>
        <w:lastRenderedPageBreak/>
        <w:t>N = 4-6 TPMIs</w:t>
      </w:r>
      <w:r w:rsidR="00690C25">
        <w:rPr>
          <w:i/>
          <w:iCs/>
          <w:lang w:eastAsia="ko-KR"/>
        </w:rPr>
        <w:t xml:space="preserve"> indication</w:t>
      </w:r>
      <w:r w:rsidRPr="00C43743">
        <w:rPr>
          <w:i/>
          <w:iCs/>
          <w:lang w:eastAsia="ko-KR"/>
        </w:rPr>
        <w:t xml:space="preserve"> using </w:t>
      </w:r>
      <w:r w:rsidRPr="00C43743">
        <w:rPr>
          <w:i/>
          <w:lang w:val="en-US"/>
        </w:rPr>
        <w:t>NR Type I codebook with L = 1 is supported for frequency-selective precoding in UL</w:t>
      </w:r>
      <w:r>
        <w:rPr>
          <w:i/>
          <w:lang w:val="en-US"/>
        </w:rPr>
        <w:t>.</w:t>
      </w:r>
      <w:r w:rsidR="0062063C">
        <w:t xml:space="preserve"> </w:t>
      </w: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0764FA89" w:rsidR="00754C34" w:rsidRDefault="0028533F" w:rsidP="00754C34">
      <w:pPr>
        <w:pStyle w:val="ListParagraph"/>
        <w:numPr>
          <w:ilvl w:val="0"/>
          <w:numId w:val="5"/>
        </w:numPr>
        <w:spacing w:before="60" w:after="120" w:line="288" w:lineRule="auto"/>
        <w:ind w:leftChars="0" w:left="360"/>
        <w:jc w:val="both"/>
        <w:rPr>
          <w:rFonts w:eastAsia="MS Mincho"/>
          <w:iCs/>
          <w:lang w:eastAsia="ja-JP"/>
        </w:rPr>
      </w:pPr>
      <w:bookmarkStart w:id="17" w:name="_Ref458614461"/>
      <w:r>
        <w:rPr>
          <w:rFonts w:eastAsia="MS Mincho"/>
          <w:iCs/>
          <w:lang w:eastAsia="ja-JP"/>
        </w:rPr>
        <w:t>RAN1#88bis</w:t>
      </w:r>
      <w:r w:rsidR="003713CF">
        <w:rPr>
          <w:rFonts w:eastAsia="MS Mincho"/>
          <w:iCs/>
          <w:lang w:eastAsia="ja-JP"/>
        </w:rPr>
        <w:t>, Chairman notes</w:t>
      </w:r>
    </w:p>
    <w:p w14:paraId="6DBD82CF" w14:textId="442CCDEC" w:rsidR="00712D0F" w:rsidRPr="00754C34" w:rsidRDefault="0028533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RAN1#89</w:t>
      </w:r>
      <w:r w:rsidR="00712D0F">
        <w:rPr>
          <w:rFonts w:eastAsia="MS Mincho"/>
          <w:iCs/>
          <w:lang w:eastAsia="ja-JP"/>
        </w:rPr>
        <w:t>, Chairman notes</w:t>
      </w:r>
    </w:p>
    <w:p w14:paraId="1A50319E" w14:textId="32BB390A" w:rsidR="00712D0F" w:rsidRPr="00754C34" w:rsidRDefault="0028533F" w:rsidP="00712D0F">
      <w:pPr>
        <w:pStyle w:val="ListParagraph"/>
        <w:numPr>
          <w:ilvl w:val="0"/>
          <w:numId w:val="5"/>
        </w:numPr>
        <w:spacing w:before="60" w:after="120" w:line="288" w:lineRule="auto"/>
        <w:ind w:leftChars="0" w:left="360"/>
        <w:jc w:val="both"/>
        <w:rPr>
          <w:rFonts w:eastAsia="MS Mincho"/>
          <w:iCs/>
          <w:lang w:eastAsia="ja-JP"/>
        </w:rPr>
      </w:pPr>
      <w:r>
        <w:rPr>
          <w:rFonts w:eastAsia="MS Mincho"/>
          <w:iCs/>
          <w:lang w:eastAsia="ja-JP"/>
        </w:rPr>
        <w:t>RAN1#90</w:t>
      </w:r>
      <w:r w:rsidR="00712D0F">
        <w:rPr>
          <w:rFonts w:eastAsia="MS Mincho"/>
          <w:iCs/>
          <w:lang w:eastAsia="ja-JP"/>
        </w:rPr>
        <w:t>, Chairman notes</w:t>
      </w:r>
    </w:p>
    <w:p w14:paraId="2AFB0D31"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R1-091465, “</w:t>
      </w:r>
      <w:r w:rsidRPr="00D62FF0">
        <w:rPr>
          <w:rFonts w:cs="Times New Roman"/>
          <w:lang w:eastAsia="ko-KR"/>
        </w:rPr>
        <w:t>Precoding Design for LTE-</w:t>
      </w:r>
      <w:proofErr w:type="gramStart"/>
      <w:r w:rsidRPr="00D62FF0">
        <w:rPr>
          <w:rFonts w:cs="Times New Roman"/>
          <w:lang w:eastAsia="ko-KR"/>
        </w:rPr>
        <w:t>A</w:t>
      </w:r>
      <w:proofErr w:type="gramEnd"/>
      <w:r w:rsidRPr="00D62FF0">
        <w:rPr>
          <w:rFonts w:cs="Times New Roman"/>
          <w:lang w:eastAsia="ko-KR"/>
        </w:rPr>
        <w:t xml:space="preserve"> Uplink MIMO Operation</w:t>
      </w:r>
      <w:r>
        <w:rPr>
          <w:rFonts w:cs="Times New Roman"/>
          <w:lang w:eastAsia="ko-KR"/>
        </w:rPr>
        <w:t xml:space="preserve">,” Qualcomm. </w:t>
      </w:r>
    </w:p>
    <w:p w14:paraId="7C35D9C7" w14:textId="77777777" w:rsidR="00303947" w:rsidRPr="00D62FF0"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R1-090377, “</w:t>
      </w:r>
      <w:r w:rsidRPr="00D62FF0">
        <w:rPr>
          <w:rFonts w:cs="Times New Roman"/>
          <w:lang w:eastAsia="ko-KR"/>
        </w:rPr>
        <w:t>Uplink SU-MIMO in LTE-Advanced</w:t>
      </w:r>
      <w:r>
        <w:rPr>
          <w:rFonts w:cs="Times New Roman"/>
          <w:lang w:eastAsia="ko-KR"/>
        </w:rPr>
        <w:t xml:space="preserve">,” Ericsson. </w:t>
      </w:r>
    </w:p>
    <w:p w14:paraId="38F0A459"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R1-091301, “</w:t>
      </w:r>
      <w:r w:rsidRPr="00D62FF0">
        <w:rPr>
          <w:rFonts w:cs="Times New Roman"/>
          <w:lang w:eastAsia="ko-KR"/>
        </w:rPr>
        <w:t>Codebook Design for 4Tx Uplink SU-MIMO</w:t>
      </w:r>
      <w:r>
        <w:rPr>
          <w:rFonts w:cs="Times New Roman"/>
          <w:lang w:eastAsia="ko-KR"/>
        </w:rPr>
        <w:t>,” Texas Instruments.</w:t>
      </w:r>
    </w:p>
    <w:p w14:paraId="02DDCA52"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R1-091818, “</w:t>
      </w:r>
      <w:r w:rsidRPr="00D62FF0">
        <w:rPr>
          <w:rFonts w:cs="Times New Roman"/>
          <w:lang w:eastAsia="ko-KR"/>
        </w:rPr>
        <w:t>Cubic Metric Friendly Precoding for UL 4Tx MIMO</w:t>
      </w:r>
      <w:r>
        <w:rPr>
          <w:rFonts w:cs="Times New Roman"/>
          <w:lang w:eastAsia="ko-KR"/>
        </w:rPr>
        <w:t>,” Huawei.</w:t>
      </w:r>
    </w:p>
    <w:p w14:paraId="7801B7D4" w14:textId="39563C3C" w:rsidR="00941AF2" w:rsidRPr="000D225C" w:rsidRDefault="00941AF2" w:rsidP="00280FB4">
      <w:pPr>
        <w:pStyle w:val="2222"/>
        <w:numPr>
          <w:ilvl w:val="0"/>
          <w:numId w:val="5"/>
        </w:numPr>
        <w:spacing w:before="60" w:after="120" w:line="288" w:lineRule="auto"/>
        <w:ind w:left="360" w:firstLineChars="0"/>
        <w:rPr>
          <w:rFonts w:cs="Times New Roman"/>
          <w:lang w:eastAsia="ko-KR"/>
        </w:rPr>
      </w:pPr>
      <w:r w:rsidRPr="000D225C">
        <w:rPr>
          <w:rFonts w:cs="Times New Roman"/>
          <w:lang w:eastAsia="ko-KR"/>
        </w:rPr>
        <w:t>R1-171</w:t>
      </w:r>
      <w:r w:rsidR="009A30C7">
        <w:rPr>
          <w:rFonts w:cs="Times New Roman"/>
          <w:lang w:eastAsia="ko-KR"/>
        </w:rPr>
        <w:t>5928</w:t>
      </w:r>
      <w:r w:rsidRPr="000D225C">
        <w:rPr>
          <w:rFonts w:cs="Times New Roman"/>
          <w:lang w:eastAsia="ko-KR"/>
        </w:rPr>
        <w:t xml:space="preserve">, </w:t>
      </w:r>
      <w:r w:rsidR="00280FB4" w:rsidRPr="000D225C">
        <w:rPr>
          <w:rFonts w:cs="Times New Roman"/>
          <w:lang w:eastAsia="ko-KR"/>
        </w:rPr>
        <w:t xml:space="preserve">“Discussion on Non-Codebook-Based UL Transmission,” </w:t>
      </w:r>
      <w:r w:rsidRPr="000D225C">
        <w:rPr>
          <w:rFonts w:cs="Times New Roman"/>
          <w:lang w:eastAsia="ko-KR"/>
        </w:rPr>
        <w:t>Samsung</w:t>
      </w:r>
    </w:p>
    <w:bookmarkEnd w:id="17"/>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77777777" w:rsidR="00D55F94" w:rsidRDefault="00D55F94" w:rsidP="00D55F94">
      <w:pPr>
        <w:pStyle w:val="Caption"/>
        <w:keepNext/>
        <w:jc w:val="center"/>
      </w:pPr>
      <w:bookmarkStart w:id="18" w:name="_Ref427254851"/>
      <w:bookmarkStart w:id="19" w:name="_Ref458526226"/>
      <w:r>
        <w:t xml:space="preserve">Table </w:t>
      </w:r>
      <w:r>
        <w:fldChar w:fldCharType="begin"/>
      </w:r>
      <w:r>
        <w:instrText xml:space="preserve"> SEQ Table \* ARABIC </w:instrText>
      </w:r>
      <w:r>
        <w:fldChar w:fldCharType="separate"/>
      </w:r>
      <w:r w:rsidR="00E20F74">
        <w:rPr>
          <w:noProof/>
        </w:rPr>
        <w:t>1</w:t>
      </w:r>
      <w:r>
        <w:fldChar w:fldCharType="end"/>
      </w:r>
      <w:bookmarkEnd w:id="18"/>
      <w:bookmarkEnd w:id="19"/>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3636"/>
        <w:gridCol w:w="3636"/>
      </w:tblGrid>
      <w:tr w:rsidR="007C5DBB" w:rsidRPr="00FC3135" w14:paraId="1C3CABF6" w14:textId="366C9EF6" w:rsidTr="007C5DBB">
        <w:trPr>
          <w:trHeight w:val="63"/>
        </w:trPr>
        <w:tc>
          <w:tcPr>
            <w:tcW w:w="1310" w:type="pct"/>
            <w:vMerge w:val="restart"/>
            <w:shd w:val="clear" w:color="auto" w:fill="auto"/>
            <w:vAlign w:val="center"/>
            <w:hideMark/>
          </w:tcPr>
          <w:p w14:paraId="47B7F4CD" w14:textId="77777777" w:rsidR="007C5DBB" w:rsidRPr="002C1AFE" w:rsidRDefault="007C5DBB" w:rsidP="00B07270">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3690" w:type="pct"/>
            <w:gridSpan w:val="2"/>
            <w:shd w:val="clear" w:color="auto" w:fill="auto"/>
            <w:vAlign w:val="center"/>
            <w:hideMark/>
          </w:tcPr>
          <w:p w14:paraId="001B053C" w14:textId="0F89321F" w:rsidR="007C5DBB" w:rsidRPr="002C1AFE" w:rsidRDefault="007C5DBB" w:rsidP="00B07270">
            <w:pPr>
              <w:spacing w:after="0"/>
              <w:jc w:val="center"/>
              <w:rPr>
                <w:rFonts w:eastAsia="Arial"/>
                <w:b/>
                <w:bCs/>
                <w:kern w:val="24"/>
                <w:sz w:val="21"/>
                <w:szCs w:val="32"/>
                <w:lang w:eastAsia="zh-TW"/>
              </w:rPr>
            </w:pPr>
            <w:r w:rsidRPr="002C1AFE">
              <w:rPr>
                <w:rFonts w:eastAsia="Arial"/>
                <w:b/>
                <w:bCs/>
                <w:kern w:val="24"/>
                <w:sz w:val="21"/>
                <w:szCs w:val="32"/>
                <w:lang w:eastAsia="zh-TW"/>
              </w:rPr>
              <w:t>Values</w:t>
            </w:r>
          </w:p>
        </w:tc>
      </w:tr>
      <w:tr w:rsidR="007C5DBB" w:rsidRPr="00FC3135" w14:paraId="0BF0DD13" w14:textId="77777777" w:rsidTr="007C5DBB">
        <w:trPr>
          <w:trHeight w:val="63"/>
        </w:trPr>
        <w:tc>
          <w:tcPr>
            <w:tcW w:w="1310" w:type="pct"/>
            <w:vMerge/>
            <w:shd w:val="clear" w:color="auto" w:fill="auto"/>
            <w:vAlign w:val="center"/>
          </w:tcPr>
          <w:p w14:paraId="02B48206" w14:textId="77777777" w:rsidR="007C5DBB" w:rsidRPr="002C1AFE" w:rsidRDefault="007C5DBB" w:rsidP="00B07270">
            <w:pPr>
              <w:spacing w:after="0"/>
              <w:jc w:val="center"/>
              <w:rPr>
                <w:rFonts w:eastAsia="Arial"/>
                <w:b/>
                <w:bCs/>
                <w:kern w:val="24"/>
                <w:sz w:val="21"/>
                <w:szCs w:val="32"/>
                <w:lang w:eastAsia="zh-TW"/>
              </w:rPr>
            </w:pPr>
          </w:p>
        </w:tc>
        <w:tc>
          <w:tcPr>
            <w:tcW w:w="1845" w:type="pct"/>
            <w:shd w:val="clear" w:color="auto" w:fill="auto"/>
            <w:vAlign w:val="center"/>
          </w:tcPr>
          <w:p w14:paraId="61ECDFCB" w14:textId="5F074A59"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Evaluation 1</w:t>
            </w:r>
          </w:p>
        </w:tc>
        <w:tc>
          <w:tcPr>
            <w:tcW w:w="1845" w:type="pct"/>
          </w:tcPr>
          <w:p w14:paraId="575250C1" w14:textId="35BC2A73" w:rsidR="007C5DBB" w:rsidRPr="002C1AFE" w:rsidRDefault="007C5DBB" w:rsidP="00B07270">
            <w:pPr>
              <w:spacing w:after="0"/>
              <w:jc w:val="center"/>
              <w:rPr>
                <w:rFonts w:eastAsia="Arial"/>
                <w:b/>
                <w:bCs/>
                <w:kern w:val="24"/>
                <w:sz w:val="21"/>
                <w:szCs w:val="32"/>
                <w:lang w:eastAsia="zh-TW"/>
              </w:rPr>
            </w:pPr>
            <w:r>
              <w:rPr>
                <w:rFonts w:eastAsia="Arial"/>
                <w:b/>
                <w:bCs/>
                <w:kern w:val="24"/>
                <w:sz w:val="21"/>
                <w:szCs w:val="32"/>
                <w:lang w:eastAsia="zh-TW"/>
              </w:rPr>
              <w:t>Evaluation 2</w:t>
            </w:r>
          </w:p>
        </w:tc>
      </w:tr>
      <w:tr w:rsidR="007C5DBB" w:rsidRPr="00FC3135" w14:paraId="4506E239" w14:textId="27A47550" w:rsidTr="007C5DBB">
        <w:trPr>
          <w:trHeight w:val="63"/>
        </w:trPr>
        <w:tc>
          <w:tcPr>
            <w:tcW w:w="1310" w:type="pct"/>
            <w:shd w:val="clear" w:color="auto" w:fill="auto"/>
            <w:vAlign w:val="center"/>
            <w:hideMark/>
          </w:tcPr>
          <w:p w14:paraId="5E9DBD07" w14:textId="77777777" w:rsidR="007C5DBB" w:rsidRPr="002C1AFE" w:rsidRDefault="007C5DBB" w:rsidP="00B07270">
            <w:pPr>
              <w:spacing w:after="0"/>
              <w:jc w:val="center"/>
              <w:rPr>
                <w:rFonts w:eastAsia="Times New Roman"/>
                <w:sz w:val="21"/>
                <w:szCs w:val="36"/>
                <w:lang w:eastAsia="zh-TW"/>
              </w:rPr>
            </w:pPr>
            <w:r w:rsidRPr="002C1AFE">
              <w:rPr>
                <w:bCs/>
                <w:kern w:val="24"/>
                <w:sz w:val="21"/>
                <w:szCs w:val="32"/>
                <w:lang w:eastAsia="zh-TW"/>
              </w:rPr>
              <w:t>Simulation Type</w:t>
            </w:r>
          </w:p>
        </w:tc>
        <w:tc>
          <w:tcPr>
            <w:tcW w:w="1845" w:type="pct"/>
            <w:shd w:val="clear" w:color="auto" w:fill="auto"/>
            <w:vAlign w:val="center"/>
            <w:hideMark/>
          </w:tcPr>
          <w:p w14:paraId="6469AC61" w14:textId="71FD4505" w:rsidR="007C5DBB" w:rsidRPr="002C1AFE" w:rsidRDefault="007C5DBB" w:rsidP="008F5048">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2</w:t>
            </w:r>
            <w:r w:rsidRPr="002C1AFE">
              <w:rPr>
                <w:rFonts w:eastAsia="Arial"/>
                <w:kern w:val="24"/>
                <w:sz w:val="21"/>
                <w:szCs w:val="32"/>
                <w:lang w:eastAsia="zh-TW"/>
              </w:rPr>
              <w:t>)</w:t>
            </w:r>
            <w:r>
              <w:rPr>
                <w:rFonts w:eastAsia="Arial"/>
                <w:kern w:val="24"/>
                <w:sz w:val="21"/>
                <w:szCs w:val="32"/>
                <w:lang w:eastAsia="zh-TW"/>
              </w:rPr>
              <w:t>, 100kbytes packet size</w:t>
            </w:r>
          </w:p>
        </w:tc>
        <w:tc>
          <w:tcPr>
            <w:tcW w:w="1845" w:type="pct"/>
          </w:tcPr>
          <w:p w14:paraId="6B353F79" w14:textId="461A4C12" w:rsidR="007C5DBB" w:rsidRPr="007C5DBB" w:rsidRDefault="007C5DBB" w:rsidP="007C5DBB">
            <w:pPr>
              <w:spacing w:after="0"/>
              <w:jc w:val="center"/>
              <w:rPr>
                <w:rFonts w:eastAsia="Times New Roman"/>
                <w:sz w:val="21"/>
                <w:szCs w:val="36"/>
                <w:lang w:eastAsia="zh-TW"/>
              </w:rPr>
            </w:pPr>
            <w:r>
              <w:rPr>
                <w:rFonts w:eastAsia="Arial"/>
                <w:kern w:val="24"/>
                <w:sz w:val="21"/>
                <w:szCs w:val="32"/>
                <w:lang w:eastAsia="zh-TW"/>
              </w:rPr>
              <w:t>Non-full-buffer (Medium load 50% Target RU, Lambda = 3)</w:t>
            </w:r>
            <w:r w:rsidRPr="007C5DBB">
              <w:rPr>
                <w:rFonts w:eastAsia="Arial"/>
                <w:kern w:val="24"/>
                <w:sz w:val="21"/>
                <w:szCs w:val="32"/>
                <w:lang w:eastAsia="zh-TW"/>
              </w:rPr>
              <w:t xml:space="preserve"> , 100kbytes packet size</w:t>
            </w:r>
          </w:p>
        </w:tc>
      </w:tr>
      <w:tr w:rsidR="007C5DBB" w:rsidRPr="00FC3135" w14:paraId="65985F81" w14:textId="74D10322" w:rsidTr="007C5DBB">
        <w:trPr>
          <w:trHeight w:val="63"/>
        </w:trPr>
        <w:tc>
          <w:tcPr>
            <w:tcW w:w="1310" w:type="pct"/>
            <w:shd w:val="clear" w:color="auto" w:fill="auto"/>
            <w:vAlign w:val="center"/>
            <w:hideMark/>
          </w:tcPr>
          <w:p w14:paraId="34218E82"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3690" w:type="pct"/>
            <w:gridSpan w:val="2"/>
            <w:shd w:val="clear" w:color="auto" w:fill="auto"/>
            <w:vAlign w:val="center"/>
            <w:hideMark/>
          </w:tcPr>
          <w:p w14:paraId="11722B10" w14:textId="28E04435"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xml:space="preserve">, 120 </w:t>
            </w:r>
            <w:proofErr w:type="spellStart"/>
            <w:r>
              <w:rPr>
                <w:rFonts w:eastAsia="Arial"/>
                <w:kern w:val="24"/>
                <w:sz w:val="21"/>
                <w:szCs w:val="32"/>
                <w:lang w:eastAsia="zh-TW"/>
              </w:rPr>
              <w:t>downtilt</w:t>
            </w:r>
            <w:proofErr w:type="spellEnd"/>
          </w:p>
        </w:tc>
      </w:tr>
      <w:tr w:rsidR="007C5DBB" w:rsidRPr="00FC3135" w14:paraId="058A97B1" w14:textId="63EAB417" w:rsidTr="007C5DBB">
        <w:trPr>
          <w:trHeight w:val="63"/>
        </w:trPr>
        <w:tc>
          <w:tcPr>
            <w:tcW w:w="1310" w:type="pct"/>
            <w:shd w:val="clear" w:color="auto" w:fill="auto"/>
            <w:vAlign w:val="center"/>
            <w:hideMark/>
          </w:tcPr>
          <w:p w14:paraId="2194CF87"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1845" w:type="pct"/>
            <w:shd w:val="clear" w:color="auto" w:fill="auto"/>
            <w:vAlign w:val="center"/>
            <w:hideMark/>
          </w:tcPr>
          <w:p w14:paraId="64EA2497" w14:textId="433ADBAF" w:rsidR="007C5DBB" w:rsidRPr="002C1AFE" w:rsidRDefault="007C5DBB" w:rsidP="00954DFD">
            <w:pPr>
              <w:spacing w:after="0"/>
              <w:jc w:val="center"/>
              <w:rPr>
                <w:rFonts w:eastAsia="Times New Roman"/>
                <w:sz w:val="21"/>
                <w:szCs w:val="36"/>
                <w:lang w:eastAsia="zh-TW"/>
              </w:rPr>
            </w:pPr>
            <w:r>
              <w:rPr>
                <w:rFonts w:eastAsia="Arial"/>
                <w:kern w:val="24"/>
                <w:sz w:val="21"/>
                <w:szCs w:val="32"/>
                <w:lang w:eastAsia="zh-TW"/>
              </w:rPr>
              <w:t>(2,2</w:t>
            </w:r>
            <w:r w:rsidRPr="002C1AFE">
              <w:rPr>
                <w:rFonts w:eastAsia="Arial"/>
                <w:kern w:val="24"/>
                <w:sz w:val="21"/>
                <w:szCs w:val="32"/>
                <w:lang w:eastAsia="zh-TW"/>
              </w:rPr>
              <w:t>), x-polarized, subarray partition</w:t>
            </w:r>
            <w:r>
              <w:rPr>
                <w:rFonts w:eastAsia="Arial"/>
                <w:kern w:val="24"/>
                <w:sz w:val="21"/>
                <w:szCs w:val="32"/>
                <w:lang w:eastAsia="zh-TW"/>
              </w:rPr>
              <w:t>, 2x1 virtualization</w:t>
            </w:r>
          </w:p>
        </w:tc>
        <w:tc>
          <w:tcPr>
            <w:tcW w:w="1845" w:type="pct"/>
          </w:tcPr>
          <w:p w14:paraId="3E0BC7CC" w14:textId="28E5589A" w:rsidR="007C5DBB" w:rsidRDefault="007C5DBB" w:rsidP="00954DFD">
            <w:pPr>
              <w:spacing w:after="0"/>
              <w:jc w:val="center"/>
              <w:rPr>
                <w:rFonts w:eastAsia="Arial"/>
                <w:kern w:val="24"/>
                <w:sz w:val="21"/>
                <w:szCs w:val="32"/>
                <w:lang w:eastAsia="zh-TW"/>
              </w:rPr>
            </w:pPr>
            <w:r>
              <w:rPr>
                <w:rFonts w:eastAsia="Arial"/>
                <w:kern w:val="24"/>
                <w:sz w:val="21"/>
                <w:szCs w:val="32"/>
                <w:lang w:eastAsia="zh-TW"/>
              </w:rPr>
              <w:t>(4,4), x-polarized, subarray partition, 4x1 virtualization</w:t>
            </w:r>
          </w:p>
        </w:tc>
      </w:tr>
      <w:tr w:rsidR="007C5DBB" w:rsidRPr="00FC3135" w14:paraId="31D8AD69" w14:textId="64FCB719" w:rsidTr="007C5DBB">
        <w:trPr>
          <w:trHeight w:val="63"/>
        </w:trPr>
        <w:tc>
          <w:tcPr>
            <w:tcW w:w="1310" w:type="pct"/>
            <w:shd w:val="clear" w:color="auto" w:fill="auto"/>
            <w:vAlign w:val="center"/>
            <w:hideMark/>
          </w:tcPr>
          <w:p w14:paraId="30EA04D1" w14:textId="77777777" w:rsidR="007C5DBB" w:rsidRPr="002C1AFE" w:rsidRDefault="007C5DBB" w:rsidP="00B07270">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Pr>
                <w:rFonts w:eastAsia="Arial"/>
                <w:bCs/>
                <w:kern w:val="24"/>
                <w:sz w:val="21"/>
                <w:szCs w:val="32"/>
                <w:lang w:eastAsia="zh-TW"/>
              </w:rPr>
              <w:t xml:space="preserv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1845" w:type="pct"/>
            <w:shd w:val="clear" w:color="auto" w:fill="auto"/>
            <w:vAlign w:val="center"/>
            <w:hideMark/>
          </w:tcPr>
          <w:p w14:paraId="1CC7A384" w14:textId="51654BD1" w:rsidR="007C5DBB" w:rsidRPr="002C1AFE" w:rsidRDefault="007C5DBB" w:rsidP="005109AE">
            <w:pPr>
              <w:spacing w:after="0"/>
              <w:jc w:val="center"/>
              <w:rPr>
                <w:rFonts w:eastAsia="Times New Roman"/>
                <w:sz w:val="21"/>
                <w:szCs w:val="36"/>
                <w:lang w:eastAsia="zh-TW"/>
              </w:rPr>
            </w:pPr>
            <w:r>
              <w:rPr>
                <w:rFonts w:eastAsia="Arial"/>
                <w:kern w:val="24"/>
                <w:sz w:val="21"/>
                <w:szCs w:val="32"/>
                <w:lang w:eastAsia="zh-TW"/>
              </w:rPr>
              <w:t>2</w:t>
            </w:r>
            <w:r w:rsidRPr="0069181E">
              <w:rPr>
                <w:rFonts w:eastAsia="Arial"/>
                <w:kern w:val="24"/>
                <w:sz w:val="21"/>
                <w:szCs w:val="32"/>
                <w:lang w:eastAsia="zh-TW"/>
              </w:rPr>
              <w:t xml:space="preserve"> </w:t>
            </w:r>
            <w:r>
              <w:rPr>
                <w:rFonts w:eastAsia="Arial"/>
                <w:kern w:val="24"/>
                <w:sz w:val="21"/>
                <w:szCs w:val="32"/>
                <w:lang w:eastAsia="zh-TW"/>
              </w:rPr>
              <w:t>ports: (2,1,2)</w:t>
            </w:r>
          </w:p>
        </w:tc>
        <w:tc>
          <w:tcPr>
            <w:tcW w:w="1845" w:type="pct"/>
          </w:tcPr>
          <w:p w14:paraId="4E0919B1" w14:textId="2082D90F" w:rsidR="007C5DBB" w:rsidRDefault="007C5DBB" w:rsidP="005109AE">
            <w:pPr>
              <w:spacing w:after="0"/>
              <w:jc w:val="center"/>
              <w:rPr>
                <w:rFonts w:eastAsia="Arial"/>
                <w:kern w:val="24"/>
                <w:sz w:val="21"/>
                <w:szCs w:val="32"/>
                <w:lang w:eastAsia="zh-TW"/>
              </w:rPr>
            </w:pPr>
            <w:r>
              <w:rPr>
                <w:rFonts w:eastAsia="Arial"/>
                <w:kern w:val="24"/>
                <w:sz w:val="21"/>
                <w:szCs w:val="32"/>
                <w:lang w:eastAsia="zh-TW"/>
              </w:rPr>
              <w:t>4 ports: (2,1,2)</w:t>
            </w:r>
          </w:p>
        </w:tc>
      </w:tr>
      <w:tr w:rsidR="007C5DBB" w:rsidRPr="00FC3135" w14:paraId="767FAA29" w14:textId="4E2B6C73" w:rsidTr="007C5DBB">
        <w:trPr>
          <w:trHeight w:val="63"/>
        </w:trPr>
        <w:tc>
          <w:tcPr>
            <w:tcW w:w="1310" w:type="pct"/>
            <w:shd w:val="clear" w:color="auto" w:fill="auto"/>
            <w:vAlign w:val="center"/>
            <w:hideMark/>
          </w:tcPr>
          <w:p w14:paraId="6081604C" w14:textId="77777777" w:rsidR="007C5DBB" w:rsidRPr="002C1AFE" w:rsidRDefault="007C5DBB" w:rsidP="00B07270">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sidRPr="002C1AFE">
              <w:rPr>
                <w:rFonts w:eastAsia="Arial"/>
                <w:bCs/>
                <w:kern w:val="24"/>
                <w:sz w:val="21"/>
                <w:szCs w:val="32"/>
                <w:lang w:eastAsia="zh-TW"/>
              </w:rPr>
              <w:t xml:space="preserve"> (H,V) antenna spacing</w:t>
            </w:r>
          </w:p>
        </w:tc>
        <w:tc>
          <w:tcPr>
            <w:tcW w:w="3690" w:type="pct"/>
            <w:gridSpan w:val="2"/>
            <w:shd w:val="clear" w:color="auto" w:fill="auto"/>
            <w:vAlign w:val="center"/>
            <w:hideMark/>
          </w:tcPr>
          <w:p w14:paraId="72EC46C0" w14:textId="61B585B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(0.5, 0.8)λ</w:t>
            </w:r>
          </w:p>
        </w:tc>
      </w:tr>
      <w:tr w:rsidR="007C5DBB" w:rsidRPr="00FC3135" w14:paraId="3FAD8AA4" w14:textId="6D631ED2" w:rsidTr="007C5DBB">
        <w:trPr>
          <w:trHeight w:val="63"/>
        </w:trPr>
        <w:tc>
          <w:tcPr>
            <w:tcW w:w="1310" w:type="pct"/>
            <w:shd w:val="clear" w:color="auto" w:fill="auto"/>
            <w:vAlign w:val="center"/>
            <w:hideMark/>
          </w:tcPr>
          <w:p w14:paraId="1AAFDEC8"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3690" w:type="pct"/>
            <w:gridSpan w:val="2"/>
            <w:shd w:val="clear" w:color="auto" w:fill="auto"/>
            <w:vAlign w:val="center"/>
            <w:hideMark/>
          </w:tcPr>
          <w:p w14:paraId="0EA24DDC" w14:textId="4A2AC14D"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BS: (+45°,-45°); MS: (0°, 90°)</w:t>
            </w:r>
          </w:p>
        </w:tc>
      </w:tr>
      <w:tr w:rsidR="007C5DBB" w:rsidRPr="00FC3135" w14:paraId="0EC09B41" w14:textId="0391B63C" w:rsidTr="007C5DBB">
        <w:trPr>
          <w:trHeight w:val="63"/>
        </w:trPr>
        <w:tc>
          <w:tcPr>
            <w:tcW w:w="1310" w:type="pct"/>
            <w:shd w:val="clear" w:color="auto" w:fill="auto"/>
            <w:vAlign w:val="center"/>
          </w:tcPr>
          <w:p w14:paraId="57F6AFC6" w14:textId="0E10B899" w:rsidR="007C5DBB" w:rsidRDefault="007C5DBB" w:rsidP="00B07270">
            <w:pPr>
              <w:spacing w:after="0"/>
              <w:jc w:val="center"/>
              <w:rPr>
                <w:rFonts w:eastAsia="Arial"/>
                <w:bCs/>
                <w:kern w:val="24"/>
                <w:sz w:val="21"/>
                <w:szCs w:val="32"/>
                <w:lang w:eastAsia="zh-TW"/>
              </w:rPr>
            </w:pPr>
            <w:r>
              <w:rPr>
                <w:rFonts w:eastAsia="Arial"/>
                <w:bCs/>
                <w:kern w:val="24"/>
                <w:sz w:val="21"/>
                <w:szCs w:val="32"/>
                <w:lang w:eastAsia="zh-TW"/>
              </w:rPr>
              <w:t xml:space="preserve">UE </w:t>
            </w:r>
            <w:proofErr w:type="spellStart"/>
            <w:r>
              <w:rPr>
                <w:rFonts w:eastAsia="Arial"/>
                <w:bCs/>
                <w:kern w:val="24"/>
                <w:sz w:val="21"/>
                <w:szCs w:val="32"/>
                <w:lang w:eastAsia="zh-TW"/>
              </w:rPr>
              <w:t>Tx</w:t>
            </w:r>
            <w:proofErr w:type="spellEnd"/>
            <w:r>
              <w:rPr>
                <w:rFonts w:eastAsia="Arial"/>
                <w:bCs/>
                <w:kern w:val="24"/>
                <w:sz w:val="21"/>
                <w:szCs w:val="32"/>
                <w:lang w:eastAsia="zh-TW"/>
              </w:rPr>
              <w:t xml:space="preserve"> power</w:t>
            </w:r>
          </w:p>
        </w:tc>
        <w:tc>
          <w:tcPr>
            <w:tcW w:w="1845" w:type="pct"/>
            <w:shd w:val="clear" w:color="auto" w:fill="auto"/>
            <w:vAlign w:val="center"/>
          </w:tcPr>
          <w:p w14:paraId="2DC236E4" w14:textId="328690F6"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 xml:space="preserve">23 </w:t>
            </w:r>
            <w:proofErr w:type="spellStart"/>
            <w:r>
              <w:rPr>
                <w:rFonts w:eastAsia="Arial"/>
                <w:kern w:val="24"/>
                <w:sz w:val="21"/>
                <w:szCs w:val="32"/>
                <w:lang w:eastAsia="zh-TW"/>
              </w:rPr>
              <w:t>dBm</w:t>
            </w:r>
            <w:proofErr w:type="spellEnd"/>
          </w:p>
        </w:tc>
        <w:tc>
          <w:tcPr>
            <w:tcW w:w="1845" w:type="pct"/>
          </w:tcPr>
          <w:p w14:paraId="0808CFF3" w14:textId="77777777" w:rsidR="007C5DBB" w:rsidRDefault="007C5DBB" w:rsidP="00B07270">
            <w:pPr>
              <w:spacing w:after="0"/>
              <w:jc w:val="center"/>
              <w:rPr>
                <w:rFonts w:eastAsia="Arial"/>
                <w:kern w:val="24"/>
                <w:sz w:val="21"/>
                <w:szCs w:val="32"/>
                <w:lang w:eastAsia="zh-TW"/>
              </w:rPr>
            </w:pPr>
          </w:p>
        </w:tc>
      </w:tr>
      <w:tr w:rsidR="007C5DBB" w:rsidRPr="00FC3135" w14:paraId="47924089" w14:textId="551E60F0" w:rsidTr="007C5DBB">
        <w:trPr>
          <w:trHeight w:val="63"/>
        </w:trPr>
        <w:tc>
          <w:tcPr>
            <w:tcW w:w="1310" w:type="pct"/>
            <w:shd w:val="clear" w:color="auto" w:fill="auto"/>
            <w:vAlign w:val="center"/>
            <w:hideMark/>
          </w:tcPr>
          <w:p w14:paraId="7FAC8094"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3690" w:type="pct"/>
            <w:gridSpan w:val="2"/>
            <w:shd w:val="clear" w:color="auto" w:fill="auto"/>
            <w:vAlign w:val="center"/>
            <w:hideMark/>
          </w:tcPr>
          <w:p w14:paraId="0979B1DB" w14:textId="6BFDF36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4, 8 ports: (2,1,2), (4,1,2)</w:t>
            </w:r>
          </w:p>
        </w:tc>
      </w:tr>
      <w:tr w:rsidR="007C5DBB" w:rsidRPr="00FC3135" w14:paraId="70118F96" w14:textId="1CA8C9CB" w:rsidTr="007C5DBB">
        <w:trPr>
          <w:trHeight w:val="63"/>
        </w:trPr>
        <w:tc>
          <w:tcPr>
            <w:tcW w:w="1310" w:type="pct"/>
            <w:shd w:val="clear" w:color="auto" w:fill="auto"/>
            <w:vAlign w:val="center"/>
          </w:tcPr>
          <w:p w14:paraId="50C2988B" w14:textId="77777777" w:rsidR="007C5DBB" w:rsidRDefault="007C5DBB" w:rsidP="00B07270">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3690" w:type="pct"/>
            <w:gridSpan w:val="2"/>
            <w:shd w:val="clear" w:color="auto" w:fill="auto"/>
            <w:vAlign w:val="center"/>
          </w:tcPr>
          <w:p w14:paraId="1252432C" w14:textId="7681917B"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7C5DBB" w:rsidRPr="00FC3135" w14:paraId="4BEF62B1" w14:textId="78E79AF7" w:rsidTr="007C5DBB">
        <w:trPr>
          <w:trHeight w:val="63"/>
        </w:trPr>
        <w:tc>
          <w:tcPr>
            <w:tcW w:w="1310" w:type="pct"/>
            <w:shd w:val="clear" w:color="auto" w:fill="auto"/>
            <w:vAlign w:val="center"/>
            <w:hideMark/>
          </w:tcPr>
          <w:p w14:paraId="6CBE5B1C" w14:textId="77777777" w:rsidR="007C5DBB" w:rsidRPr="002C1AFE" w:rsidRDefault="007C5DBB" w:rsidP="00B07270">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3690" w:type="pct"/>
            <w:gridSpan w:val="2"/>
            <w:shd w:val="clear" w:color="auto" w:fill="auto"/>
            <w:vAlign w:val="center"/>
            <w:hideMark/>
          </w:tcPr>
          <w:p w14:paraId="6830E778" w14:textId="5EC6D038"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Conjugate beamforming</w:t>
            </w:r>
          </w:p>
        </w:tc>
      </w:tr>
      <w:tr w:rsidR="007C5DBB" w:rsidRPr="00FC3135" w14:paraId="0A0E9192" w14:textId="372CDC9B" w:rsidTr="007C5DBB">
        <w:trPr>
          <w:trHeight w:val="63"/>
        </w:trPr>
        <w:tc>
          <w:tcPr>
            <w:tcW w:w="1310" w:type="pct"/>
            <w:shd w:val="clear" w:color="auto" w:fill="auto"/>
            <w:vAlign w:val="center"/>
            <w:hideMark/>
          </w:tcPr>
          <w:p w14:paraId="39AA078D"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3690" w:type="pct"/>
            <w:gridSpan w:val="2"/>
            <w:shd w:val="clear" w:color="auto" w:fill="auto"/>
            <w:vAlign w:val="center"/>
            <w:hideMark/>
          </w:tcPr>
          <w:p w14:paraId="4F18035E" w14:textId="66EAC5AC" w:rsidR="007C5DBB" w:rsidRDefault="007C5DBB" w:rsidP="00B07270">
            <w:pPr>
              <w:spacing w:after="0"/>
              <w:contextualSpacing/>
              <w:jc w:val="center"/>
              <w:rPr>
                <w:rFonts w:eastAsia="Arial"/>
                <w:kern w:val="24"/>
                <w:sz w:val="21"/>
                <w:szCs w:val="32"/>
                <w:lang w:eastAsia="zh-TW"/>
              </w:rPr>
            </w:pPr>
            <w:r>
              <w:rPr>
                <w:rFonts w:eastAsia="Arial"/>
                <w:kern w:val="24"/>
                <w:sz w:val="21"/>
                <w:szCs w:val="32"/>
                <w:lang w:eastAsia="zh-TW"/>
              </w:rPr>
              <w:t>SU, Proportional fair</w:t>
            </w:r>
          </w:p>
        </w:tc>
      </w:tr>
      <w:tr w:rsidR="007C5DBB" w:rsidRPr="00FC3135" w14:paraId="5B63C0BC" w14:textId="67461DEA" w:rsidTr="007C5DBB">
        <w:trPr>
          <w:trHeight w:val="63"/>
        </w:trPr>
        <w:tc>
          <w:tcPr>
            <w:tcW w:w="1310" w:type="pct"/>
            <w:shd w:val="clear" w:color="auto" w:fill="auto"/>
            <w:vAlign w:val="center"/>
            <w:hideMark/>
          </w:tcPr>
          <w:p w14:paraId="6BF35299"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3690" w:type="pct"/>
            <w:gridSpan w:val="2"/>
            <w:shd w:val="clear" w:color="auto" w:fill="auto"/>
            <w:vAlign w:val="center"/>
            <w:hideMark/>
          </w:tcPr>
          <w:p w14:paraId="07F68203" w14:textId="68955AAA" w:rsidR="007C5DBB" w:rsidRDefault="007C5DBB" w:rsidP="00B07270">
            <w:pPr>
              <w:spacing w:after="0"/>
              <w:jc w:val="center"/>
              <w:rPr>
                <w:rFonts w:eastAsia="Arial"/>
                <w:kern w:val="24"/>
                <w:sz w:val="21"/>
                <w:szCs w:val="32"/>
                <w:lang w:eastAsia="zh-TW"/>
              </w:rPr>
            </w:pPr>
            <w:r>
              <w:rPr>
                <w:rFonts w:eastAsia="Arial"/>
                <w:kern w:val="24"/>
                <w:sz w:val="21"/>
                <w:szCs w:val="32"/>
                <w:lang w:eastAsia="zh-TW"/>
              </w:rPr>
              <w:t>Non-ideal</w:t>
            </w:r>
          </w:p>
        </w:tc>
      </w:tr>
      <w:tr w:rsidR="007C5DBB" w:rsidRPr="00FC3135" w14:paraId="6D572D2C" w14:textId="16E66510" w:rsidTr="007C5DBB">
        <w:trPr>
          <w:trHeight w:val="63"/>
        </w:trPr>
        <w:tc>
          <w:tcPr>
            <w:tcW w:w="1310" w:type="pct"/>
            <w:shd w:val="clear" w:color="auto" w:fill="auto"/>
            <w:vAlign w:val="center"/>
            <w:hideMark/>
          </w:tcPr>
          <w:p w14:paraId="1CE5D13A"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3690" w:type="pct"/>
            <w:gridSpan w:val="2"/>
            <w:shd w:val="clear" w:color="auto" w:fill="auto"/>
            <w:vAlign w:val="center"/>
            <w:hideMark/>
          </w:tcPr>
          <w:p w14:paraId="1FBFE497" w14:textId="694C844B"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1</w:t>
            </w:r>
            <w:r>
              <w:rPr>
                <w:rFonts w:eastAsia="Arial"/>
                <w:kern w:val="24"/>
                <w:sz w:val="21"/>
                <w:szCs w:val="32"/>
                <w:lang w:eastAsia="zh-TW"/>
              </w:rPr>
              <w:t>,2</w:t>
            </w:r>
          </w:p>
        </w:tc>
      </w:tr>
      <w:tr w:rsidR="007C5DBB" w:rsidRPr="00FC3135" w14:paraId="457EC58F" w14:textId="1FB13D2A" w:rsidTr="007C5DBB">
        <w:trPr>
          <w:trHeight w:val="63"/>
        </w:trPr>
        <w:tc>
          <w:tcPr>
            <w:tcW w:w="1310" w:type="pct"/>
            <w:shd w:val="clear" w:color="auto" w:fill="auto"/>
            <w:vAlign w:val="center"/>
            <w:hideMark/>
          </w:tcPr>
          <w:p w14:paraId="446CD04B" w14:textId="77777777" w:rsidR="007C5DBB" w:rsidRPr="002C1AFE" w:rsidRDefault="007C5DBB" w:rsidP="00B07270">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3690" w:type="pct"/>
            <w:gridSpan w:val="2"/>
            <w:shd w:val="clear" w:color="auto" w:fill="auto"/>
            <w:vAlign w:val="center"/>
            <w:hideMark/>
          </w:tcPr>
          <w:p w14:paraId="6D843298" w14:textId="512FFD12" w:rsidR="007C5DBB" w:rsidRPr="002C1AFE" w:rsidRDefault="007C5DBB" w:rsidP="00B07270">
            <w:pPr>
              <w:spacing w:after="0"/>
              <w:jc w:val="center"/>
              <w:rPr>
                <w:rFonts w:eastAsia="Arial"/>
                <w:kern w:val="24"/>
                <w:sz w:val="21"/>
                <w:szCs w:val="32"/>
                <w:lang w:eastAsia="zh-TW"/>
              </w:rPr>
            </w:pPr>
            <w:r w:rsidRPr="002C1AFE">
              <w:rPr>
                <w:rFonts w:eastAsia="Arial"/>
                <w:kern w:val="24"/>
                <w:sz w:val="21"/>
                <w:szCs w:val="32"/>
                <w:lang w:eastAsia="zh-TW"/>
              </w:rPr>
              <w:t>MMSE-IRC</w:t>
            </w:r>
          </w:p>
        </w:tc>
      </w:tr>
      <w:tr w:rsidR="007C5DBB" w:rsidRPr="00FC3135" w14:paraId="256C3D1A" w14:textId="0395F638" w:rsidTr="007C5DBB">
        <w:trPr>
          <w:trHeight w:val="63"/>
        </w:trPr>
        <w:tc>
          <w:tcPr>
            <w:tcW w:w="1310" w:type="pct"/>
            <w:shd w:val="clear" w:color="auto" w:fill="auto"/>
            <w:vAlign w:val="center"/>
          </w:tcPr>
          <w:p w14:paraId="2B6DE886" w14:textId="77777777" w:rsidR="007C5DBB" w:rsidRPr="002C1AFE" w:rsidRDefault="007C5DBB" w:rsidP="00B07270">
            <w:pPr>
              <w:spacing w:after="0"/>
              <w:jc w:val="center"/>
              <w:rPr>
                <w:rFonts w:eastAsia="Arial"/>
                <w:bCs/>
                <w:kern w:val="24"/>
                <w:sz w:val="21"/>
                <w:szCs w:val="32"/>
                <w:lang w:eastAsia="zh-TW"/>
              </w:rPr>
            </w:pPr>
            <w:r>
              <w:rPr>
                <w:rFonts w:eastAsia="Arial"/>
                <w:bCs/>
                <w:kern w:val="24"/>
                <w:sz w:val="21"/>
                <w:szCs w:val="32"/>
                <w:lang w:eastAsia="zh-TW"/>
              </w:rPr>
              <w:t>Codebook</w:t>
            </w:r>
          </w:p>
        </w:tc>
        <w:tc>
          <w:tcPr>
            <w:tcW w:w="1845" w:type="pct"/>
            <w:shd w:val="clear" w:color="auto" w:fill="auto"/>
            <w:vAlign w:val="center"/>
          </w:tcPr>
          <w:p w14:paraId="327E33E6" w14:textId="7C864EEB" w:rsidR="007C5DBB" w:rsidRDefault="007C5DBB" w:rsidP="00B07270">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xml:space="preserve">: LTE UL codebook, NR Type I codebook with </w:t>
            </w:r>
            <w:r w:rsidRPr="00A801E9">
              <w:rPr>
                <w:rFonts w:eastAsia="Arial"/>
                <w:i/>
                <w:kern w:val="24"/>
                <w:sz w:val="21"/>
                <w:szCs w:val="32"/>
                <w:lang w:eastAsia="zh-TW"/>
              </w:rPr>
              <w:t>L</w:t>
            </w:r>
            <w:r w:rsidR="00E20F74">
              <w:rPr>
                <w:rFonts w:eastAsia="Arial"/>
                <w:kern w:val="24"/>
                <w:sz w:val="21"/>
                <w:szCs w:val="32"/>
                <w:lang w:eastAsia="zh-TW"/>
              </w:rPr>
              <w:t xml:space="preserve"> = 1</w:t>
            </w:r>
          </w:p>
          <w:p w14:paraId="5BC81220" w14:textId="482789E7" w:rsidR="007C5DBB" w:rsidRPr="002C1AFE" w:rsidRDefault="007C5DBB" w:rsidP="00552195">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xml:space="preserve">: NR Type I codebook with </w:t>
            </w:r>
            <w:r w:rsidRPr="00A801E9">
              <w:rPr>
                <w:rFonts w:eastAsia="Arial"/>
                <w:i/>
                <w:kern w:val="24"/>
                <w:sz w:val="21"/>
                <w:szCs w:val="32"/>
                <w:lang w:eastAsia="zh-TW"/>
              </w:rPr>
              <w:t>L</w:t>
            </w:r>
            <w:r>
              <w:rPr>
                <w:rFonts w:eastAsia="Arial"/>
                <w:kern w:val="24"/>
                <w:sz w:val="21"/>
                <w:szCs w:val="32"/>
                <w:lang w:eastAsia="zh-TW"/>
              </w:rPr>
              <w:t xml:space="preserve"> = 1 </w:t>
            </w:r>
          </w:p>
        </w:tc>
        <w:tc>
          <w:tcPr>
            <w:tcW w:w="1845" w:type="pct"/>
          </w:tcPr>
          <w:p w14:paraId="13E79130" w14:textId="77777777" w:rsidR="007C5DBB" w:rsidRDefault="007C5DBB" w:rsidP="007C5DBB">
            <w:pPr>
              <w:spacing w:after="0"/>
              <w:jc w:val="center"/>
              <w:rPr>
                <w:rFonts w:eastAsia="Arial"/>
                <w:kern w:val="24"/>
                <w:sz w:val="21"/>
                <w:szCs w:val="32"/>
                <w:lang w:eastAsia="zh-TW"/>
              </w:rPr>
            </w:pPr>
            <w:r>
              <w:rPr>
                <w:rFonts w:eastAsia="Arial"/>
                <w:kern w:val="24"/>
                <w:sz w:val="21"/>
                <w:szCs w:val="32"/>
                <w:u w:val="single"/>
                <w:lang w:eastAsia="zh-TW"/>
              </w:rPr>
              <w:t>4Tx</w:t>
            </w:r>
            <w:r>
              <w:rPr>
                <w:rFonts w:eastAsia="Arial"/>
                <w:kern w:val="24"/>
                <w:sz w:val="21"/>
                <w:szCs w:val="32"/>
                <w:lang w:eastAsia="zh-TW"/>
              </w:rPr>
              <w:t>: LTE UL codebook, LTE DL Rel. 12 codebook</w:t>
            </w:r>
          </w:p>
          <w:p w14:paraId="35B9AB64" w14:textId="77777777" w:rsidR="007C5DBB" w:rsidRDefault="007C5DBB" w:rsidP="007C5DBB">
            <w:pPr>
              <w:spacing w:after="0"/>
              <w:jc w:val="center"/>
              <w:rPr>
                <w:rFonts w:eastAsia="Arial"/>
                <w:kern w:val="24"/>
                <w:sz w:val="21"/>
                <w:szCs w:val="32"/>
                <w:lang w:eastAsia="zh-TW"/>
              </w:rPr>
            </w:pPr>
            <w:r>
              <w:rPr>
                <w:rFonts w:eastAsia="Arial"/>
                <w:kern w:val="24"/>
                <w:sz w:val="21"/>
                <w:szCs w:val="32"/>
                <w:u w:val="single"/>
                <w:lang w:eastAsia="zh-TW"/>
              </w:rPr>
              <w:t>8Tx</w:t>
            </w:r>
            <w:r>
              <w:rPr>
                <w:rFonts w:eastAsia="Arial"/>
                <w:kern w:val="24"/>
                <w:sz w:val="21"/>
                <w:szCs w:val="32"/>
                <w:lang w:eastAsia="zh-TW"/>
              </w:rPr>
              <w:t>: LTE DL Rel. 10 codebook</w:t>
            </w:r>
          </w:p>
          <w:p w14:paraId="2B1385B5" w14:textId="2EF0E3B6" w:rsidR="007C5DBB" w:rsidRPr="002B6668" w:rsidRDefault="007C5DBB" w:rsidP="007C5DBB">
            <w:pPr>
              <w:spacing w:after="0"/>
              <w:jc w:val="center"/>
              <w:rPr>
                <w:rFonts w:eastAsia="Arial"/>
                <w:kern w:val="24"/>
                <w:sz w:val="21"/>
                <w:szCs w:val="32"/>
                <w:u w:val="single"/>
                <w:lang w:eastAsia="zh-TW"/>
              </w:rPr>
            </w:pPr>
            <w:r>
              <w:rPr>
                <w:rFonts w:eastAsia="Arial"/>
                <w:kern w:val="24"/>
                <w:sz w:val="21"/>
                <w:szCs w:val="32"/>
                <w:lang w:eastAsia="zh-TW"/>
              </w:rPr>
              <w:t>For beam grouping: Type I W1 codebook with (</w:t>
            </w:r>
            <w:r>
              <w:rPr>
                <w:rFonts w:eastAsia="Arial"/>
                <w:i/>
                <w:kern w:val="24"/>
                <w:sz w:val="21"/>
                <w:szCs w:val="32"/>
                <w:lang w:eastAsia="zh-TW"/>
              </w:rPr>
              <w:t>O</w:t>
            </w:r>
            <w:r>
              <w:rPr>
                <w:rFonts w:eastAsia="Arial"/>
                <w:kern w:val="24"/>
                <w:sz w:val="21"/>
                <w:szCs w:val="32"/>
                <w:vertAlign w:val="subscript"/>
                <w:lang w:eastAsia="zh-TW"/>
              </w:rPr>
              <w:t>1</w:t>
            </w:r>
            <w:r>
              <w:rPr>
                <w:rFonts w:eastAsia="Arial"/>
                <w:kern w:val="24"/>
                <w:sz w:val="21"/>
                <w:szCs w:val="32"/>
                <w:lang w:eastAsia="zh-TW"/>
              </w:rPr>
              <w:t>,</w:t>
            </w:r>
            <w:r>
              <w:rPr>
                <w:rFonts w:eastAsia="Arial"/>
                <w:i/>
                <w:kern w:val="24"/>
                <w:sz w:val="21"/>
                <w:szCs w:val="32"/>
                <w:lang w:eastAsia="zh-TW"/>
              </w:rPr>
              <w:t>O</w:t>
            </w:r>
            <w:r>
              <w:rPr>
                <w:rFonts w:eastAsia="Arial"/>
                <w:kern w:val="24"/>
                <w:sz w:val="21"/>
                <w:szCs w:val="32"/>
                <w:vertAlign w:val="subscript"/>
                <w:lang w:eastAsia="zh-TW"/>
              </w:rPr>
              <w:t>2</w:t>
            </w:r>
            <w:r>
              <w:rPr>
                <w:rFonts w:eastAsia="Arial"/>
                <w:kern w:val="24"/>
                <w:sz w:val="21"/>
                <w:szCs w:val="32"/>
                <w:lang w:eastAsia="zh-TW"/>
              </w:rPr>
              <w:t>) = (4,-) [5]</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36FF3042" w14:textId="40527ED6" w:rsidR="001362B9" w:rsidRDefault="001362B9" w:rsidP="001362B9">
      <w:pPr>
        <w:pStyle w:val="Caption"/>
        <w:keepNext/>
        <w:jc w:val="center"/>
      </w:pPr>
      <w:bookmarkStart w:id="20" w:name="_Ref485122047"/>
      <w:r>
        <w:t xml:space="preserve">Table </w:t>
      </w:r>
      <w:r>
        <w:fldChar w:fldCharType="begin"/>
      </w:r>
      <w:r>
        <w:instrText xml:space="preserve"> SEQ Table \* ARABIC </w:instrText>
      </w:r>
      <w:r>
        <w:fldChar w:fldCharType="separate"/>
      </w:r>
      <w:r w:rsidR="00E20F74">
        <w:rPr>
          <w:noProof/>
        </w:rPr>
        <w:t>2</w:t>
      </w:r>
      <w:r>
        <w:fldChar w:fldCharType="end"/>
      </w:r>
      <w:bookmarkEnd w:id="20"/>
      <w:r>
        <w:t xml:space="preserve">: Performance-overhead </w:t>
      </w:r>
      <w:proofErr w:type="spellStart"/>
      <w:r>
        <w:t>tradeoff</w:t>
      </w:r>
      <w:proofErr w:type="spellEnd"/>
    </w:p>
    <w:tbl>
      <w:tblPr>
        <w:tblStyle w:val="GridTable1Light1"/>
        <w:tblW w:w="0" w:type="auto"/>
        <w:jc w:val="center"/>
        <w:tblLook w:val="04A0" w:firstRow="1" w:lastRow="0" w:firstColumn="1" w:lastColumn="0" w:noHBand="0" w:noVBand="1"/>
      </w:tblPr>
      <w:tblGrid>
        <w:gridCol w:w="550"/>
        <w:gridCol w:w="1389"/>
        <w:gridCol w:w="350"/>
        <w:gridCol w:w="839"/>
        <w:gridCol w:w="1090"/>
        <w:gridCol w:w="1079"/>
        <w:gridCol w:w="1036"/>
        <w:gridCol w:w="827"/>
        <w:gridCol w:w="1411"/>
        <w:gridCol w:w="1284"/>
      </w:tblGrid>
      <w:tr w:rsidR="001362B9" w:rsidRPr="002067B4" w14:paraId="1A646704" w14:textId="77777777" w:rsidTr="001362B9">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4E05259" w14:textId="16067107" w:rsidR="001362B9" w:rsidRPr="001362B9" w:rsidRDefault="001362B9" w:rsidP="001362B9">
            <w:pPr>
              <w:spacing w:after="0"/>
              <w:jc w:val="center"/>
              <w:rPr>
                <w:rFonts w:eastAsia="Times New Roman"/>
                <w:color w:val="000000"/>
                <w:lang w:val="en-US"/>
              </w:rPr>
            </w:pPr>
            <w:proofErr w:type="spellStart"/>
            <w:r w:rsidRPr="002067B4">
              <w:rPr>
                <w:rFonts w:eastAsia="Times New Roman"/>
                <w:color w:val="000000"/>
                <w:lang w:val="en-US"/>
              </w:rPr>
              <w:t>Tx</w:t>
            </w:r>
            <w:proofErr w:type="spellEnd"/>
          </w:p>
        </w:tc>
        <w:tc>
          <w:tcPr>
            <w:tcW w:w="0" w:type="auto"/>
            <w:vMerge w:val="restart"/>
            <w:vAlign w:val="center"/>
          </w:tcPr>
          <w:p w14:paraId="1CC3FAA0" w14:textId="717B3C46"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UL codebook</w:t>
            </w:r>
          </w:p>
        </w:tc>
        <w:tc>
          <w:tcPr>
            <w:tcW w:w="0" w:type="auto"/>
            <w:vMerge w:val="restart"/>
            <w:vAlign w:val="center"/>
          </w:tcPr>
          <w:p w14:paraId="25727AE2" w14:textId="4DEF0340"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L</w:t>
            </w:r>
          </w:p>
        </w:tc>
        <w:tc>
          <w:tcPr>
            <w:tcW w:w="0" w:type="auto"/>
            <w:vMerge w:val="restart"/>
            <w:vAlign w:val="center"/>
          </w:tcPr>
          <w:p w14:paraId="33E0F0C4" w14:textId="6B300599"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#TPMI</w:t>
            </w:r>
          </w:p>
        </w:tc>
        <w:tc>
          <w:tcPr>
            <w:tcW w:w="0" w:type="auto"/>
            <w:gridSpan w:val="3"/>
            <w:vAlign w:val="center"/>
          </w:tcPr>
          <w:p w14:paraId="52D0712D" w14:textId="1403E248"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Performance</w:t>
            </w:r>
          </w:p>
        </w:tc>
        <w:tc>
          <w:tcPr>
            <w:tcW w:w="0" w:type="auto"/>
            <w:gridSpan w:val="3"/>
            <w:vAlign w:val="center"/>
          </w:tcPr>
          <w:p w14:paraId="3FD99CE2" w14:textId="0E01D800" w:rsidR="001362B9" w:rsidRPr="001362B9" w:rsidRDefault="001362B9" w:rsidP="001362B9">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Overhead (rank 1)</w:t>
            </w:r>
          </w:p>
        </w:tc>
      </w:tr>
      <w:tr w:rsidR="001362B9" w:rsidRPr="002067B4" w14:paraId="382237C7" w14:textId="51569C1B" w:rsidTr="001362B9">
        <w:trPr>
          <w:trHeight w:val="69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86C6D1B" w14:textId="7F5C611C" w:rsidR="001362B9" w:rsidRPr="002067B4" w:rsidRDefault="001362B9" w:rsidP="001362B9">
            <w:pPr>
              <w:spacing w:after="0"/>
              <w:jc w:val="center"/>
              <w:rPr>
                <w:rFonts w:eastAsia="Times New Roman"/>
                <w:color w:val="000000"/>
                <w:lang w:val="en-US"/>
              </w:rPr>
            </w:pPr>
          </w:p>
        </w:tc>
        <w:tc>
          <w:tcPr>
            <w:tcW w:w="0" w:type="auto"/>
            <w:vMerge/>
            <w:vAlign w:val="center"/>
            <w:hideMark/>
          </w:tcPr>
          <w:p w14:paraId="62A25F7A" w14:textId="23438CB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ign w:val="center"/>
            <w:hideMark/>
          </w:tcPr>
          <w:p w14:paraId="1774639C" w14:textId="445D64C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vAlign w:val="center"/>
            <w:hideMark/>
          </w:tcPr>
          <w:p w14:paraId="671E065A" w14:textId="3E01EEB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Align w:val="center"/>
            <w:hideMark/>
          </w:tcPr>
          <w:p w14:paraId="3B3AEF0B" w14:textId="63B992CC"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Avg</w:t>
            </w:r>
            <w:r w:rsidRPr="001362B9">
              <w:rPr>
                <w:rFonts w:eastAsia="Times New Roman"/>
                <w:color w:val="000000"/>
                <w:lang w:val="en-US"/>
              </w:rPr>
              <w:t>.</w:t>
            </w:r>
            <w:r w:rsidRPr="002067B4">
              <w:rPr>
                <w:rFonts w:eastAsia="Times New Roman"/>
                <w:color w:val="000000"/>
                <w:lang w:val="en-US"/>
              </w:rPr>
              <w:t xml:space="preserve"> UPT gain</w:t>
            </w:r>
          </w:p>
        </w:tc>
        <w:tc>
          <w:tcPr>
            <w:tcW w:w="0" w:type="auto"/>
            <w:vAlign w:val="center"/>
            <w:hideMark/>
          </w:tcPr>
          <w:p w14:paraId="5EF15BD3"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50% UPT gain</w:t>
            </w:r>
          </w:p>
        </w:tc>
        <w:tc>
          <w:tcPr>
            <w:tcW w:w="0" w:type="auto"/>
            <w:vAlign w:val="center"/>
            <w:hideMark/>
          </w:tcPr>
          <w:p w14:paraId="6C5C9DE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5% UPT gain</w:t>
            </w:r>
          </w:p>
        </w:tc>
        <w:tc>
          <w:tcPr>
            <w:tcW w:w="0" w:type="auto"/>
            <w:vAlign w:val="center"/>
          </w:tcPr>
          <w:p w14:paraId="02AF9F83" w14:textId="2796AA2D"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#bits (W1)</w:t>
            </w:r>
          </w:p>
        </w:tc>
        <w:tc>
          <w:tcPr>
            <w:tcW w:w="1411" w:type="dxa"/>
            <w:vAlign w:val="center"/>
          </w:tcPr>
          <w:p w14:paraId="2687270E" w14:textId="42172C0D"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1362B9">
              <w:rPr>
                <w:rFonts w:eastAsia="Times New Roman"/>
                <w:color w:val="000000"/>
                <w:lang w:val="en-US"/>
              </w:rPr>
              <w:t>#bits (W1+W2</w:t>
            </w:r>
            <w:r w:rsidRPr="002067B4">
              <w:rPr>
                <w:rFonts w:eastAsia="Times New Roman"/>
                <w:color w:val="000000"/>
                <w:lang w:val="en-US"/>
              </w:rPr>
              <w:t>)</w:t>
            </w:r>
          </w:p>
        </w:tc>
        <w:tc>
          <w:tcPr>
            <w:tcW w:w="0" w:type="auto"/>
            <w:vAlign w:val="center"/>
          </w:tcPr>
          <w:p w14:paraId="29F1FBFD" w14:textId="7FFFFB9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#Totals (W1+W2)</w:t>
            </w:r>
          </w:p>
        </w:tc>
      </w:tr>
      <w:tr w:rsidR="001362B9" w:rsidRPr="002067B4" w14:paraId="58430037" w14:textId="435CD05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tcPr>
          <w:p w14:paraId="13C2A231" w14:textId="02D23F25" w:rsidR="001362B9" w:rsidRPr="002067B4" w:rsidRDefault="001362B9" w:rsidP="001362B9">
            <w:pPr>
              <w:spacing w:after="0"/>
              <w:jc w:val="center"/>
              <w:rPr>
                <w:rFonts w:eastAsia="Times New Roman"/>
                <w:color w:val="000000"/>
                <w:lang w:val="en-US"/>
              </w:rPr>
            </w:pPr>
            <w:r w:rsidRPr="001362B9">
              <w:rPr>
                <w:rFonts w:eastAsia="Times New Roman"/>
                <w:color w:val="000000"/>
                <w:lang w:val="en-US"/>
              </w:rPr>
              <w:t>4Tx</w:t>
            </w:r>
          </w:p>
        </w:tc>
        <w:tc>
          <w:tcPr>
            <w:tcW w:w="0" w:type="auto"/>
            <w:vMerge w:val="restart"/>
            <w:noWrap/>
            <w:vAlign w:val="center"/>
            <w:hideMark/>
          </w:tcPr>
          <w:p w14:paraId="2CD4DD8F" w14:textId="1B933085"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LTE UL CB</w:t>
            </w:r>
          </w:p>
        </w:tc>
        <w:tc>
          <w:tcPr>
            <w:tcW w:w="0" w:type="auto"/>
            <w:noWrap/>
            <w:vAlign w:val="center"/>
          </w:tcPr>
          <w:p w14:paraId="4F7E4428" w14:textId="4C2FBDF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3A0983AE"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noWrap/>
            <w:vAlign w:val="center"/>
            <w:hideMark/>
          </w:tcPr>
          <w:p w14:paraId="6D7B002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22C1187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noWrap/>
            <w:vAlign w:val="center"/>
            <w:hideMark/>
          </w:tcPr>
          <w:p w14:paraId="64D4F189"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vAlign w:val="center"/>
          </w:tcPr>
          <w:p w14:paraId="5AB21CC8" w14:textId="1A631E0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0</w:t>
            </w:r>
          </w:p>
        </w:tc>
        <w:tc>
          <w:tcPr>
            <w:tcW w:w="1411" w:type="dxa"/>
            <w:vAlign w:val="center"/>
          </w:tcPr>
          <w:p w14:paraId="7E0709CE" w14:textId="6783D47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c>
          <w:tcPr>
            <w:tcW w:w="1284" w:type="dxa"/>
            <w:vAlign w:val="center"/>
          </w:tcPr>
          <w:p w14:paraId="6F102C47" w14:textId="477B0F4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r>
      <w:tr w:rsidR="001362B9" w:rsidRPr="002067B4" w14:paraId="3F7C66D5" w14:textId="5A7F9727"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D6C29F4" w14:textId="40E88CF3"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599245AA" w14:textId="5A8ED18A"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70768113" w14:textId="5E97CE5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D42B0D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noWrap/>
            <w:vAlign w:val="center"/>
            <w:hideMark/>
          </w:tcPr>
          <w:p w14:paraId="7880243F"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102.0%</w:t>
            </w:r>
          </w:p>
        </w:tc>
        <w:tc>
          <w:tcPr>
            <w:tcW w:w="0" w:type="auto"/>
            <w:noWrap/>
            <w:vAlign w:val="center"/>
            <w:hideMark/>
          </w:tcPr>
          <w:p w14:paraId="66FB7CD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104.9%</w:t>
            </w:r>
          </w:p>
        </w:tc>
        <w:tc>
          <w:tcPr>
            <w:tcW w:w="0" w:type="auto"/>
            <w:noWrap/>
            <w:vAlign w:val="center"/>
            <w:hideMark/>
          </w:tcPr>
          <w:p w14:paraId="58F1635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102.0%</w:t>
            </w:r>
          </w:p>
        </w:tc>
        <w:tc>
          <w:tcPr>
            <w:tcW w:w="0" w:type="auto"/>
            <w:vAlign w:val="center"/>
          </w:tcPr>
          <w:p w14:paraId="6BD69AA4" w14:textId="57070C0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22F77FDD" w14:textId="44649F6A"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10</w:t>
            </w:r>
          </w:p>
        </w:tc>
        <w:tc>
          <w:tcPr>
            <w:tcW w:w="1284" w:type="dxa"/>
            <w:vAlign w:val="center"/>
          </w:tcPr>
          <w:p w14:paraId="0BF1058C" w14:textId="6344748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10</w:t>
            </w:r>
          </w:p>
        </w:tc>
      </w:tr>
      <w:tr w:rsidR="001362B9" w:rsidRPr="002067B4" w14:paraId="1391EE71" w14:textId="386E918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2281C0A3" w14:textId="34741148"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6C7FD16" w14:textId="581FF73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261EE248" w14:textId="00D424D2"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9DBADF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noWrap/>
            <w:vAlign w:val="center"/>
            <w:hideMark/>
          </w:tcPr>
          <w:p w14:paraId="74526BF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110.2%</w:t>
            </w:r>
          </w:p>
        </w:tc>
        <w:tc>
          <w:tcPr>
            <w:tcW w:w="0" w:type="auto"/>
            <w:noWrap/>
            <w:vAlign w:val="center"/>
            <w:hideMark/>
          </w:tcPr>
          <w:p w14:paraId="1904E0C3"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116.3%</w:t>
            </w:r>
          </w:p>
        </w:tc>
        <w:tc>
          <w:tcPr>
            <w:tcW w:w="0" w:type="auto"/>
            <w:noWrap/>
            <w:vAlign w:val="center"/>
            <w:hideMark/>
          </w:tcPr>
          <w:p w14:paraId="6B2F6065"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132.6%</w:t>
            </w:r>
          </w:p>
        </w:tc>
        <w:tc>
          <w:tcPr>
            <w:tcW w:w="0" w:type="auto"/>
            <w:vAlign w:val="center"/>
          </w:tcPr>
          <w:p w14:paraId="04D2587E" w14:textId="54385DA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149988D5" w14:textId="116CAE80"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20</w:t>
            </w:r>
          </w:p>
        </w:tc>
        <w:tc>
          <w:tcPr>
            <w:tcW w:w="1284" w:type="dxa"/>
            <w:vAlign w:val="center"/>
          </w:tcPr>
          <w:p w14:paraId="6123098D" w14:textId="116F232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20</w:t>
            </w:r>
          </w:p>
        </w:tc>
      </w:tr>
      <w:tr w:rsidR="001362B9" w:rsidRPr="002067B4" w14:paraId="6DCA7A2A" w14:textId="18324C9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60752051" w14:textId="63C7CA2D"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0865B745" w14:textId="3609634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0DC12D7F" w14:textId="659542C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46FB197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noWrap/>
            <w:vAlign w:val="center"/>
            <w:hideMark/>
          </w:tcPr>
          <w:p w14:paraId="5342883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117.2%</w:t>
            </w:r>
          </w:p>
        </w:tc>
        <w:tc>
          <w:tcPr>
            <w:tcW w:w="0" w:type="auto"/>
            <w:noWrap/>
            <w:vAlign w:val="center"/>
            <w:hideMark/>
          </w:tcPr>
          <w:p w14:paraId="3A715FA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122.8%</w:t>
            </w:r>
          </w:p>
        </w:tc>
        <w:tc>
          <w:tcPr>
            <w:tcW w:w="0" w:type="auto"/>
            <w:noWrap/>
            <w:vAlign w:val="center"/>
            <w:hideMark/>
          </w:tcPr>
          <w:p w14:paraId="2A6E8AA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147.4%</w:t>
            </w:r>
          </w:p>
        </w:tc>
        <w:tc>
          <w:tcPr>
            <w:tcW w:w="0" w:type="auto"/>
            <w:vAlign w:val="center"/>
          </w:tcPr>
          <w:p w14:paraId="5CB081E3" w14:textId="6FA3F03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7A73BD2D" w14:textId="7F4393DE"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30</w:t>
            </w:r>
          </w:p>
        </w:tc>
        <w:tc>
          <w:tcPr>
            <w:tcW w:w="1284" w:type="dxa"/>
            <w:vAlign w:val="center"/>
          </w:tcPr>
          <w:p w14:paraId="452D4DC6" w14:textId="5E8CB1D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30</w:t>
            </w:r>
          </w:p>
        </w:tc>
      </w:tr>
      <w:tr w:rsidR="001362B9" w:rsidRPr="002067B4" w14:paraId="7AE9A4AB" w14:textId="760D8A74"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0BBD985E" w14:textId="02A40415"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038B126A" w14:textId="036CE619"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noWrap/>
            <w:vAlign w:val="center"/>
          </w:tcPr>
          <w:p w14:paraId="4E78812C" w14:textId="2A2F0EB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val="en-US"/>
              </w:rPr>
            </w:pPr>
            <w:r w:rsidRPr="001362B9">
              <w:rPr>
                <w:rFonts w:eastAsia="Times New Roman"/>
                <w:b/>
                <w:bCs/>
                <w:color w:val="000000"/>
                <w:lang w:val="en-US"/>
              </w:rPr>
              <w:t>-</w:t>
            </w:r>
          </w:p>
        </w:tc>
        <w:tc>
          <w:tcPr>
            <w:tcW w:w="0" w:type="auto"/>
            <w:noWrap/>
            <w:vAlign w:val="center"/>
            <w:hideMark/>
          </w:tcPr>
          <w:p w14:paraId="00005379"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noWrap/>
            <w:vAlign w:val="center"/>
            <w:hideMark/>
          </w:tcPr>
          <w:p w14:paraId="7F88BB9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121.7%</w:t>
            </w:r>
          </w:p>
        </w:tc>
        <w:tc>
          <w:tcPr>
            <w:tcW w:w="0" w:type="auto"/>
            <w:noWrap/>
            <w:vAlign w:val="center"/>
            <w:hideMark/>
          </w:tcPr>
          <w:p w14:paraId="3B91C09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130.7%</w:t>
            </w:r>
          </w:p>
        </w:tc>
        <w:tc>
          <w:tcPr>
            <w:tcW w:w="0" w:type="auto"/>
            <w:noWrap/>
            <w:vAlign w:val="center"/>
            <w:hideMark/>
          </w:tcPr>
          <w:p w14:paraId="61970D6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lang w:val="en-US"/>
              </w:rPr>
              <w:t>172.8%</w:t>
            </w:r>
          </w:p>
        </w:tc>
        <w:tc>
          <w:tcPr>
            <w:tcW w:w="0" w:type="auto"/>
            <w:vAlign w:val="center"/>
          </w:tcPr>
          <w:p w14:paraId="00858911" w14:textId="568F919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0</w:t>
            </w:r>
          </w:p>
        </w:tc>
        <w:tc>
          <w:tcPr>
            <w:tcW w:w="1411" w:type="dxa"/>
            <w:vAlign w:val="center"/>
          </w:tcPr>
          <w:p w14:paraId="1DE80DA5" w14:textId="5CD16429"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40</w:t>
            </w:r>
          </w:p>
        </w:tc>
        <w:tc>
          <w:tcPr>
            <w:tcW w:w="1284" w:type="dxa"/>
            <w:vAlign w:val="center"/>
          </w:tcPr>
          <w:p w14:paraId="6A603CD2" w14:textId="67FC60F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2067B4">
              <w:rPr>
                <w:rFonts w:eastAsia="Times New Roman"/>
                <w:color w:val="000000"/>
                <w:lang w:val="en-US"/>
              </w:rPr>
              <w:t>40</w:t>
            </w:r>
          </w:p>
        </w:tc>
      </w:tr>
      <w:tr w:rsidR="001362B9" w:rsidRPr="002067B4" w14:paraId="6FD9FF45" w14:textId="090A2D61"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705F312C" w14:textId="693D4409" w:rsidR="001362B9" w:rsidRPr="002067B4" w:rsidRDefault="001362B9" w:rsidP="001362B9">
            <w:pPr>
              <w:spacing w:after="0"/>
              <w:jc w:val="center"/>
              <w:rPr>
                <w:rFonts w:eastAsia="Times New Roman"/>
                <w:color w:val="000000"/>
                <w:lang w:val="en-US"/>
              </w:rPr>
            </w:pPr>
          </w:p>
        </w:tc>
        <w:tc>
          <w:tcPr>
            <w:tcW w:w="0" w:type="auto"/>
            <w:vMerge w:val="restart"/>
            <w:noWrap/>
            <w:vAlign w:val="center"/>
            <w:hideMark/>
          </w:tcPr>
          <w:p w14:paraId="0EEE6B56" w14:textId="31EA6943"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NR Type I CB</w:t>
            </w:r>
          </w:p>
        </w:tc>
        <w:tc>
          <w:tcPr>
            <w:tcW w:w="0" w:type="auto"/>
            <w:vMerge w:val="restart"/>
            <w:shd w:val="clear" w:color="auto" w:fill="FFFF00"/>
            <w:noWrap/>
            <w:vAlign w:val="center"/>
            <w:hideMark/>
          </w:tcPr>
          <w:p w14:paraId="70612824" w14:textId="626BADC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r w:rsidRPr="002067B4">
              <w:rPr>
                <w:rFonts w:eastAsia="Times New Roman"/>
                <w:bCs/>
                <w:color w:val="000000"/>
                <w:lang w:val="en-US"/>
              </w:rPr>
              <w:t>1</w:t>
            </w:r>
          </w:p>
        </w:tc>
        <w:tc>
          <w:tcPr>
            <w:tcW w:w="0" w:type="auto"/>
            <w:shd w:val="clear" w:color="auto" w:fill="FFFF00"/>
            <w:noWrap/>
            <w:vAlign w:val="center"/>
            <w:hideMark/>
          </w:tcPr>
          <w:p w14:paraId="5A4DD08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w:t>
            </w:r>
          </w:p>
        </w:tc>
        <w:tc>
          <w:tcPr>
            <w:tcW w:w="0" w:type="auto"/>
            <w:shd w:val="clear" w:color="auto" w:fill="FFFF00"/>
            <w:noWrap/>
            <w:vAlign w:val="center"/>
            <w:hideMark/>
          </w:tcPr>
          <w:p w14:paraId="7FF9A08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2690592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noWrap/>
            <w:vAlign w:val="center"/>
            <w:hideMark/>
          </w:tcPr>
          <w:p w14:paraId="0AB8D54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FF0000"/>
                <w:lang w:val="en-US"/>
              </w:rPr>
              <w:t>100.0%</w:t>
            </w:r>
          </w:p>
        </w:tc>
        <w:tc>
          <w:tcPr>
            <w:tcW w:w="0" w:type="auto"/>
            <w:shd w:val="clear" w:color="auto" w:fill="FFFF00"/>
            <w:vAlign w:val="center"/>
          </w:tcPr>
          <w:p w14:paraId="667B9F61" w14:textId="5820EF6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3</w:t>
            </w:r>
          </w:p>
        </w:tc>
        <w:tc>
          <w:tcPr>
            <w:tcW w:w="1411" w:type="dxa"/>
            <w:shd w:val="clear" w:color="auto" w:fill="FFFF00"/>
            <w:vAlign w:val="center"/>
          </w:tcPr>
          <w:p w14:paraId="2F9E2E78" w14:textId="028CE5B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2</w:t>
            </w:r>
          </w:p>
        </w:tc>
        <w:tc>
          <w:tcPr>
            <w:tcW w:w="1284" w:type="dxa"/>
            <w:shd w:val="clear" w:color="auto" w:fill="FFFF00"/>
            <w:vAlign w:val="center"/>
          </w:tcPr>
          <w:p w14:paraId="62699074" w14:textId="72553FC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2067B4">
              <w:rPr>
                <w:rFonts w:eastAsia="Times New Roman"/>
                <w:color w:val="000000"/>
                <w:lang w:val="en-US"/>
              </w:rPr>
              <w:t>5</w:t>
            </w:r>
          </w:p>
        </w:tc>
      </w:tr>
      <w:tr w:rsidR="001362B9" w:rsidRPr="002067B4" w14:paraId="096A5809" w14:textId="06D78A5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922E00C" w14:textId="6E680621"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69F9E813" w14:textId="004B5A1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0F7615D5" w14:textId="172951A5"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40305522"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2</w:t>
            </w:r>
          </w:p>
        </w:tc>
        <w:tc>
          <w:tcPr>
            <w:tcW w:w="0" w:type="auto"/>
            <w:shd w:val="clear" w:color="auto" w:fill="FFFF00"/>
            <w:noWrap/>
            <w:vAlign w:val="center"/>
            <w:hideMark/>
          </w:tcPr>
          <w:p w14:paraId="591761A0"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100.6%</w:t>
            </w:r>
          </w:p>
        </w:tc>
        <w:tc>
          <w:tcPr>
            <w:tcW w:w="0" w:type="auto"/>
            <w:shd w:val="clear" w:color="auto" w:fill="FFFF00"/>
            <w:noWrap/>
            <w:vAlign w:val="center"/>
            <w:hideMark/>
          </w:tcPr>
          <w:p w14:paraId="71091A6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102.0%</w:t>
            </w:r>
          </w:p>
        </w:tc>
        <w:tc>
          <w:tcPr>
            <w:tcW w:w="0" w:type="auto"/>
            <w:shd w:val="clear" w:color="auto" w:fill="FFFF00"/>
            <w:noWrap/>
            <w:vAlign w:val="center"/>
            <w:hideMark/>
          </w:tcPr>
          <w:p w14:paraId="0546D51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104.1%</w:t>
            </w:r>
          </w:p>
        </w:tc>
        <w:tc>
          <w:tcPr>
            <w:tcW w:w="0" w:type="auto"/>
            <w:shd w:val="clear" w:color="auto" w:fill="FFFF00"/>
            <w:vAlign w:val="center"/>
          </w:tcPr>
          <w:p w14:paraId="15E2B0B4" w14:textId="4B7D564B"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34A1AA5B" w14:textId="22645C48"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1284" w:type="dxa"/>
            <w:shd w:val="clear" w:color="auto" w:fill="FFFF00"/>
            <w:vAlign w:val="center"/>
          </w:tcPr>
          <w:p w14:paraId="39112B0B" w14:textId="7F34F23F"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7</w:t>
            </w:r>
          </w:p>
        </w:tc>
      </w:tr>
      <w:tr w:rsidR="001362B9" w:rsidRPr="002067B4" w14:paraId="78F0D55E" w14:textId="62AD117F"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FC001F9" w14:textId="27C0104F"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141889D9" w14:textId="4757900F"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5AA9E92F" w14:textId="7257E65E"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436383EB"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4</w:t>
            </w:r>
          </w:p>
        </w:tc>
        <w:tc>
          <w:tcPr>
            <w:tcW w:w="0" w:type="auto"/>
            <w:shd w:val="clear" w:color="auto" w:fill="FFFF00"/>
            <w:noWrap/>
            <w:vAlign w:val="center"/>
            <w:hideMark/>
          </w:tcPr>
          <w:p w14:paraId="7179B5E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109.1%</w:t>
            </w:r>
          </w:p>
        </w:tc>
        <w:tc>
          <w:tcPr>
            <w:tcW w:w="0" w:type="auto"/>
            <w:shd w:val="clear" w:color="auto" w:fill="FFFF00"/>
            <w:noWrap/>
            <w:vAlign w:val="center"/>
            <w:hideMark/>
          </w:tcPr>
          <w:p w14:paraId="6544297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109.4%</w:t>
            </w:r>
          </w:p>
        </w:tc>
        <w:tc>
          <w:tcPr>
            <w:tcW w:w="0" w:type="auto"/>
            <w:shd w:val="clear" w:color="auto" w:fill="FFFF00"/>
            <w:noWrap/>
            <w:vAlign w:val="center"/>
            <w:hideMark/>
          </w:tcPr>
          <w:p w14:paraId="02F7D69C"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123.2%</w:t>
            </w:r>
          </w:p>
        </w:tc>
        <w:tc>
          <w:tcPr>
            <w:tcW w:w="0" w:type="auto"/>
            <w:shd w:val="clear" w:color="auto" w:fill="FFFF00"/>
            <w:vAlign w:val="center"/>
          </w:tcPr>
          <w:p w14:paraId="24852070" w14:textId="2D3E4EA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223A205D" w14:textId="4A5C289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1284" w:type="dxa"/>
            <w:shd w:val="clear" w:color="auto" w:fill="FFFF00"/>
            <w:vAlign w:val="center"/>
          </w:tcPr>
          <w:p w14:paraId="2AF841B0" w14:textId="4C8D42F4"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w:t>
            </w:r>
          </w:p>
        </w:tc>
      </w:tr>
      <w:tr w:rsidR="001362B9" w:rsidRPr="002067B4" w14:paraId="02F6D1C7" w14:textId="10FCD5BB"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4A3667EB" w14:textId="0E3E64F8"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243D7B03" w14:textId="7B375A8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2DCF6C7F" w14:textId="7F718CC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0982070D"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6</w:t>
            </w:r>
          </w:p>
        </w:tc>
        <w:tc>
          <w:tcPr>
            <w:tcW w:w="0" w:type="auto"/>
            <w:shd w:val="clear" w:color="auto" w:fill="FFFF00"/>
            <w:noWrap/>
            <w:vAlign w:val="center"/>
            <w:hideMark/>
          </w:tcPr>
          <w:p w14:paraId="26FCBE04"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115.9%</w:t>
            </w:r>
          </w:p>
        </w:tc>
        <w:tc>
          <w:tcPr>
            <w:tcW w:w="0" w:type="auto"/>
            <w:shd w:val="clear" w:color="auto" w:fill="FFFF00"/>
            <w:noWrap/>
            <w:vAlign w:val="center"/>
            <w:hideMark/>
          </w:tcPr>
          <w:p w14:paraId="49125447"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117.4%</w:t>
            </w:r>
          </w:p>
        </w:tc>
        <w:tc>
          <w:tcPr>
            <w:tcW w:w="0" w:type="auto"/>
            <w:shd w:val="clear" w:color="auto" w:fill="FFFF00"/>
            <w:noWrap/>
            <w:vAlign w:val="center"/>
            <w:hideMark/>
          </w:tcPr>
          <w:p w14:paraId="5F3803CE"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153.0%</w:t>
            </w:r>
          </w:p>
        </w:tc>
        <w:tc>
          <w:tcPr>
            <w:tcW w:w="0" w:type="auto"/>
            <w:shd w:val="clear" w:color="auto" w:fill="FFFF00"/>
            <w:vAlign w:val="center"/>
          </w:tcPr>
          <w:p w14:paraId="4EA023C6" w14:textId="624E6347"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70894FA6" w14:textId="7443966C"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w:t>
            </w:r>
          </w:p>
        </w:tc>
        <w:tc>
          <w:tcPr>
            <w:tcW w:w="1284" w:type="dxa"/>
            <w:shd w:val="clear" w:color="auto" w:fill="FFFF00"/>
            <w:vAlign w:val="center"/>
          </w:tcPr>
          <w:p w14:paraId="5EC182A6" w14:textId="5FEEA232"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15</w:t>
            </w:r>
          </w:p>
        </w:tc>
      </w:tr>
      <w:tr w:rsidR="001362B9" w:rsidRPr="002067B4" w14:paraId="24B04D6E" w14:textId="40BDF126" w:rsidTr="001362B9">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1DA6DE6" w14:textId="0AB42F66" w:rsidR="001362B9" w:rsidRPr="002067B4" w:rsidRDefault="001362B9" w:rsidP="001362B9">
            <w:pPr>
              <w:spacing w:after="0"/>
              <w:jc w:val="center"/>
              <w:rPr>
                <w:rFonts w:eastAsia="Times New Roman"/>
                <w:color w:val="000000"/>
                <w:lang w:val="en-US"/>
              </w:rPr>
            </w:pPr>
          </w:p>
        </w:tc>
        <w:tc>
          <w:tcPr>
            <w:tcW w:w="0" w:type="auto"/>
            <w:vMerge/>
            <w:noWrap/>
            <w:vAlign w:val="center"/>
            <w:hideMark/>
          </w:tcPr>
          <w:p w14:paraId="43B6E9A6" w14:textId="553A1E0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FFFF00"/>
            <w:noWrap/>
            <w:vAlign w:val="center"/>
            <w:hideMark/>
          </w:tcPr>
          <w:p w14:paraId="765EC9B9" w14:textId="070F902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color w:val="000000"/>
                <w:lang w:val="en-US"/>
              </w:rPr>
            </w:pPr>
          </w:p>
        </w:tc>
        <w:tc>
          <w:tcPr>
            <w:tcW w:w="0" w:type="auto"/>
            <w:shd w:val="clear" w:color="auto" w:fill="FFFF00"/>
            <w:noWrap/>
            <w:vAlign w:val="center"/>
            <w:hideMark/>
          </w:tcPr>
          <w:p w14:paraId="2D6DB6D8"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8</w:t>
            </w:r>
          </w:p>
        </w:tc>
        <w:tc>
          <w:tcPr>
            <w:tcW w:w="0" w:type="auto"/>
            <w:shd w:val="clear" w:color="auto" w:fill="FFFF00"/>
            <w:noWrap/>
            <w:vAlign w:val="center"/>
            <w:hideMark/>
          </w:tcPr>
          <w:p w14:paraId="6F07C586"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120.5%</w:t>
            </w:r>
          </w:p>
        </w:tc>
        <w:tc>
          <w:tcPr>
            <w:tcW w:w="0" w:type="auto"/>
            <w:shd w:val="clear" w:color="auto" w:fill="FFFF00"/>
            <w:noWrap/>
            <w:vAlign w:val="center"/>
            <w:hideMark/>
          </w:tcPr>
          <w:p w14:paraId="18318A50"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124.4%</w:t>
            </w:r>
          </w:p>
        </w:tc>
        <w:tc>
          <w:tcPr>
            <w:tcW w:w="0" w:type="auto"/>
            <w:shd w:val="clear" w:color="auto" w:fill="FFFF00"/>
            <w:noWrap/>
            <w:vAlign w:val="center"/>
            <w:hideMark/>
          </w:tcPr>
          <w:p w14:paraId="3F93D071" w14:textId="77777777"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189.6%</w:t>
            </w:r>
          </w:p>
        </w:tc>
        <w:tc>
          <w:tcPr>
            <w:tcW w:w="0" w:type="auto"/>
            <w:shd w:val="clear" w:color="auto" w:fill="FFFF00"/>
            <w:vAlign w:val="center"/>
          </w:tcPr>
          <w:p w14:paraId="51D90649" w14:textId="60D146D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3</w:t>
            </w:r>
          </w:p>
        </w:tc>
        <w:tc>
          <w:tcPr>
            <w:tcW w:w="1411" w:type="dxa"/>
            <w:shd w:val="clear" w:color="auto" w:fill="FFFF00"/>
            <w:vAlign w:val="center"/>
          </w:tcPr>
          <w:p w14:paraId="0DD3034D" w14:textId="57973E15"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16</w:t>
            </w:r>
          </w:p>
        </w:tc>
        <w:tc>
          <w:tcPr>
            <w:tcW w:w="1284" w:type="dxa"/>
            <w:shd w:val="clear" w:color="auto" w:fill="FFFF00"/>
            <w:vAlign w:val="center"/>
          </w:tcPr>
          <w:p w14:paraId="73326036" w14:textId="60358A43" w:rsidR="001362B9" w:rsidRPr="001362B9"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19</w:t>
            </w:r>
          </w:p>
        </w:tc>
      </w:tr>
      <w:tr w:rsidR="001362B9" w:rsidRPr="002067B4" w14:paraId="33880939" w14:textId="3F78859D"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tcPr>
          <w:p w14:paraId="6B45747C" w14:textId="5ED001E7" w:rsidR="001362B9" w:rsidRPr="002067B4" w:rsidRDefault="001362B9" w:rsidP="001362B9">
            <w:pPr>
              <w:spacing w:after="0"/>
              <w:jc w:val="center"/>
              <w:rPr>
                <w:rFonts w:eastAsia="Times New Roman"/>
                <w:color w:val="000000"/>
                <w:lang w:val="en-US"/>
              </w:rPr>
            </w:pPr>
            <w:r w:rsidRPr="001362B9">
              <w:rPr>
                <w:rFonts w:eastAsia="Times New Roman"/>
                <w:color w:val="000000"/>
                <w:lang w:val="en-US"/>
              </w:rPr>
              <w:t>8Tx</w:t>
            </w:r>
          </w:p>
        </w:tc>
        <w:tc>
          <w:tcPr>
            <w:tcW w:w="0" w:type="auto"/>
            <w:vMerge w:val="restart"/>
            <w:noWrap/>
            <w:vAlign w:val="center"/>
          </w:tcPr>
          <w:p w14:paraId="6292A41E" w14:textId="1F922F70"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2067B4">
              <w:rPr>
                <w:rFonts w:eastAsia="Times New Roman"/>
                <w:color w:val="000000"/>
                <w:lang w:val="en-US"/>
              </w:rPr>
              <w:t>NR Type I CB</w:t>
            </w:r>
          </w:p>
        </w:tc>
        <w:tc>
          <w:tcPr>
            <w:tcW w:w="0" w:type="auto"/>
            <w:vMerge w:val="restart"/>
            <w:shd w:val="clear" w:color="auto" w:fill="auto"/>
            <w:noWrap/>
            <w:vAlign w:val="center"/>
          </w:tcPr>
          <w:p w14:paraId="4EB79902" w14:textId="329235A9"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r w:rsidRPr="00A32E5F">
              <w:rPr>
                <w:rFonts w:eastAsia="Times New Roman"/>
                <w:bCs/>
                <w:lang w:val="en-US"/>
              </w:rPr>
              <w:t>1</w:t>
            </w:r>
          </w:p>
        </w:tc>
        <w:tc>
          <w:tcPr>
            <w:tcW w:w="0" w:type="auto"/>
            <w:shd w:val="clear" w:color="auto" w:fill="auto"/>
            <w:noWrap/>
            <w:vAlign w:val="center"/>
            <w:hideMark/>
          </w:tcPr>
          <w:p w14:paraId="7475B6D8" w14:textId="0CDF8FC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1</w:t>
            </w:r>
          </w:p>
        </w:tc>
        <w:tc>
          <w:tcPr>
            <w:tcW w:w="0" w:type="auto"/>
            <w:shd w:val="clear" w:color="auto" w:fill="auto"/>
            <w:noWrap/>
            <w:vAlign w:val="center"/>
            <w:hideMark/>
          </w:tcPr>
          <w:p w14:paraId="6FF21D30" w14:textId="64769BD6"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FF0000"/>
                <w:lang w:val="en-US"/>
              </w:rPr>
              <w:t>100.0%</w:t>
            </w:r>
          </w:p>
        </w:tc>
        <w:tc>
          <w:tcPr>
            <w:tcW w:w="0" w:type="auto"/>
            <w:shd w:val="clear" w:color="auto" w:fill="auto"/>
            <w:noWrap/>
            <w:vAlign w:val="center"/>
            <w:hideMark/>
          </w:tcPr>
          <w:p w14:paraId="3656AE81" w14:textId="40C34FC7"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FF0000"/>
                <w:lang w:val="en-US"/>
              </w:rPr>
              <w:t>100.0%</w:t>
            </w:r>
          </w:p>
        </w:tc>
        <w:tc>
          <w:tcPr>
            <w:tcW w:w="0" w:type="auto"/>
            <w:shd w:val="clear" w:color="auto" w:fill="auto"/>
            <w:noWrap/>
            <w:vAlign w:val="center"/>
            <w:hideMark/>
          </w:tcPr>
          <w:p w14:paraId="36714C47" w14:textId="47F7CD5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FF0000"/>
                <w:lang w:val="en-US"/>
              </w:rPr>
              <w:t>100.0%</w:t>
            </w:r>
          </w:p>
        </w:tc>
        <w:tc>
          <w:tcPr>
            <w:tcW w:w="0" w:type="auto"/>
            <w:shd w:val="clear" w:color="auto" w:fill="auto"/>
            <w:vAlign w:val="center"/>
          </w:tcPr>
          <w:p w14:paraId="0DAAAE95" w14:textId="4B4BC58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000000"/>
                <w:lang w:val="en-US"/>
              </w:rPr>
              <w:t>4</w:t>
            </w:r>
          </w:p>
        </w:tc>
        <w:tc>
          <w:tcPr>
            <w:tcW w:w="1411" w:type="dxa"/>
            <w:shd w:val="clear" w:color="auto" w:fill="auto"/>
            <w:vAlign w:val="center"/>
          </w:tcPr>
          <w:p w14:paraId="67F835BC" w14:textId="34E4E4B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000000"/>
                <w:lang w:val="en-US"/>
              </w:rPr>
              <w:t>2</w:t>
            </w:r>
          </w:p>
        </w:tc>
        <w:tc>
          <w:tcPr>
            <w:tcW w:w="1284" w:type="dxa"/>
            <w:shd w:val="clear" w:color="auto" w:fill="auto"/>
            <w:vAlign w:val="center"/>
          </w:tcPr>
          <w:p w14:paraId="3832628F" w14:textId="4C272E2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FF0000"/>
                <w:lang w:val="en-US"/>
              </w:rPr>
            </w:pPr>
            <w:r w:rsidRPr="00A32E5F">
              <w:rPr>
                <w:rFonts w:eastAsia="Times New Roman"/>
                <w:color w:val="000000"/>
                <w:lang w:val="en-US"/>
              </w:rPr>
              <w:t>6</w:t>
            </w:r>
          </w:p>
        </w:tc>
      </w:tr>
      <w:tr w:rsidR="001362B9" w:rsidRPr="002067B4" w14:paraId="70EA0D88" w14:textId="7FFBEC0D"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04D6A9DA" w14:textId="003DB59E" w:rsidR="001362B9" w:rsidRPr="002067B4" w:rsidRDefault="001362B9" w:rsidP="001362B9">
            <w:pPr>
              <w:spacing w:after="0"/>
              <w:jc w:val="center"/>
              <w:rPr>
                <w:rFonts w:eastAsia="Times New Roman"/>
                <w:color w:val="000000"/>
                <w:lang w:val="en-US"/>
              </w:rPr>
            </w:pPr>
          </w:p>
        </w:tc>
        <w:tc>
          <w:tcPr>
            <w:tcW w:w="0" w:type="auto"/>
            <w:vMerge/>
            <w:noWrap/>
            <w:vAlign w:val="center"/>
          </w:tcPr>
          <w:p w14:paraId="3A3EB104" w14:textId="17844DFB"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209D3768" w14:textId="1E34DE37"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4A636779" w14:textId="48395493"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2</w:t>
            </w:r>
          </w:p>
        </w:tc>
        <w:tc>
          <w:tcPr>
            <w:tcW w:w="0" w:type="auto"/>
            <w:shd w:val="clear" w:color="auto" w:fill="auto"/>
            <w:noWrap/>
            <w:vAlign w:val="center"/>
            <w:hideMark/>
          </w:tcPr>
          <w:p w14:paraId="18FD4059" w14:textId="087CCDC9"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100.1%</w:t>
            </w:r>
          </w:p>
        </w:tc>
        <w:tc>
          <w:tcPr>
            <w:tcW w:w="0" w:type="auto"/>
            <w:shd w:val="clear" w:color="auto" w:fill="auto"/>
            <w:noWrap/>
            <w:vAlign w:val="center"/>
            <w:hideMark/>
          </w:tcPr>
          <w:p w14:paraId="469A58CB" w14:textId="17FEB87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100.2%</w:t>
            </w:r>
          </w:p>
        </w:tc>
        <w:tc>
          <w:tcPr>
            <w:tcW w:w="0" w:type="auto"/>
            <w:shd w:val="clear" w:color="auto" w:fill="auto"/>
            <w:noWrap/>
            <w:vAlign w:val="center"/>
            <w:hideMark/>
          </w:tcPr>
          <w:p w14:paraId="2A4D4202" w14:textId="42083FC6"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97.9%</w:t>
            </w:r>
          </w:p>
        </w:tc>
        <w:tc>
          <w:tcPr>
            <w:tcW w:w="0" w:type="auto"/>
            <w:shd w:val="clear" w:color="auto" w:fill="auto"/>
            <w:vAlign w:val="center"/>
          </w:tcPr>
          <w:p w14:paraId="7E9BA255" w14:textId="16234B31"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33AFA192" w14:textId="63085E4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284" w:type="dxa"/>
            <w:shd w:val="clear" w:color="auto" w:fill="auto"/>
            <w:vAlign w:val="center"/>
          </w:tcPr>
          <w:p w14:paraId="73D64044" w14:textId="5315D4EF"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8</w:t>
            </w:r>
          </w:p>
        </w:tc>
      </w:tr>
      <w:tr w:rsidR="001362B9" w:rsidRPr="002067B4" w14:paraId="21A54D5D" w14:textId="7D6C75EC"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E160D32" w14:textId="5A6D191B" w:rsidR="001362B9" w:rsidRPr="002067B4" w:rsidRDefault="001362B9" w:rsidP="001362B9">
            <w:pPr>
              <w:spacing w:after="0"/>
              <w:jc w:val="center"/>
              <w:rPr>
                <w:rFonts w:eastAsia="Times New Roman"/>
                <w:color w:val="000000"/>
                <w:lang w:val="en-US"/>
              </w:rPr>
            </w:pPr>
          </w:p>
        </w:tc>
        <w:tc>
          <w:tcPr>
            <w:tcW w:w="0" w:type="auto"/>
            <w:vMerge/>
            <w:noWrap/>
            <w:vAlign w:val="center"/>
          </w:tcPr>
          <w:p w14:paraId="0F051B7F" w14:textId="49B06588"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652405E8" w14:textId="6D3DA1DE"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320376D7" w14:textId="37857431"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4</w:t>
            </w:r>
          </w:p>
        </w:tc>
        <w:tc>
          <w:tcPr>
            <w:tcW w:w="0" w:type="auto"/>
            <w:shd w:val="clear" w:color="auto" w:fill="auto"/>
            <w:noWrap/>
            <w:vAlign w:val="center"/>
            <w:hideMark/>
          </w:tcPr>
          <w:p w14:paraId="15CA43C8" w14:textId="6B15B19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107.2%</w:t>
            </w:r>
          </w:p>
        </w:tc>
        <w:tc>
          <w:tcPr>
            <w:tcW w:w="0" w:type="auto"/>
            <w:shd w:val="clear" w:color="auto" w:fill="auto"/>
            <w:noWrap/>
            <w:vAlign w:val="center"/>
            <w:hideMark/>
          </w:tcPr>
          <w:p w14:paraId="0B971B43" w14:textId="48AF2B5C"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107.6%</w:t>
            </w:r>
          </w:p>
        </w:tc>
        <w:tc>
          <w:tcPr>
            <w:tcW w:w="0" w:type="auto"/>
            <w:shd w:val="clear" w:color="auto" w:fill="auto"/>
            <w:noWrap/>
            <w:vAlign w:val="center"/>
            <w:hideMark/>
          </w:tcPr>
          <w:p w14:paraId="3EFD9762" w14:textId="614C355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118.6%</w:t>
            </w:r>
          </w:p>
        </w:tc>
        <w:tc>
          <w:tcPr>
            <w:tcW w:w="0" w:type="auto"/>
            <w:shd w:val="clear" w:color="auto" w:fill="auto"/>
            <w:vAlign w:val="center"/>
          </w:tcPr>
          <w:p w14:paraId="44F4DD70" w14:textId="0796BA6E"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00DFF186" w14:textId="3C7ACD20"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8</w:t>
            </w:r>
          </w:p>
        </w:tc>
        <w:tc>
          <w:tcPr>
            <w:tcW w:w="1284" w:type="dxa"/>
            <w:shd w:val="clear" w:color="auto" w:fill="auto"/>
            <w:vAlign w:val="center"/>
          </w:tcPr>
          <w:p w14:paraId="2A41615F" w14:textId="4E1C232F"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12</w:t>
            </w:r>
          </w:p>
        </w:tc>
      </w:tr>
      <w:tr w:rsidR="001362B9" w:rsidRPr="002067B4" w14:paraId="47A4B8A5" w14:textId="29413C20"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5D95BC8E" w14:textId="26690F2E" w:rsidR="001362B9" w:rsidRPr="002067B4" w:rsidRDefault="001362B9" w:rsidP="001362B9">
            <w:pPr>
              <w:spacing w:after="0"/>
              <w:jc w:val="center"/>
              <w:rPr>
                <w:rFonts w:eastAsia="Times New Roman"/>
                <w:color w:val="000000"/>
                <w:lang w:val="en-US"/>
              </w:rPr>
            </w:pPr>
          </w:p>
        </w:tc>
        <w:tc>
          <w:tcPr>
            <w:tcW w:w="0" w:type="auto"/>
            <w:vMerge/>
            <w:noWrap/>
            <w:vAlign w:val="center"/>
          </w:tcPr>
          <w:p w14:paraId="546F7045" w14:textId="0F33F9F6"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29243D5C" w14:textId="7077C33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6E52CDC2" w14:textId="234486E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6</w:t>
            </w:r>
          </w:p>
        </w:tc>
        <w:tc>
          <w:tcPr>
            <w:tcW w:w="0" w:type="auto"/>
            <w:shd w:val="clear" w:color="auto" w:fill="auto"/>
            <w:noWrap/>
            <w:vAlign w:val="center"/>
            <w:hideMark/>
          </w:tcPr>
          <w:p w14:paraId="05969BA4" w14:textId="0847AD97"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112.9%</w:t>
            </w:r>
          </w:p>
        </w:tc>
        <w:tc>
          <w:tcPr>
            <w:tcW w:w="0" w:type="auto"/>
            <w:shd w:val="clear" w:color="auto" w:fill="auto"/>
            <w:noWrap/>
            <w:vAlign w:val="center"/>
            <w:hideMark/>
          </w:tcPr>
          <w:p w14:paraId="7DDD9DD8" w14:textId="336CA74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115.8%</w:t>
            </w:r>
          </w:p>
        </w:tc>
        <w:tc>
          <w:tcPr>
            <w:tcW w:w="0" w:type="auto"/>
            <w:shd w:val="clear" w:color="auto" w:fill="auto"/>
            <w:noWrap/>
            <w:vAlign w:val="center"/>
            <w:hideMark/>
          </w:tcPr>
          <w:p w14:paraId="39FD5B4F" w14:textId="358726AB"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157.6%</w:t>
            </w:r>
          </w:p>
        </w:tc>
        <w:tc>
          <w:tcPr>
            <w:tcW w:w="0" w:type="auto"/>
            <w:shd w:val="clear" w:color="auto" w:fill="auto"/>
            <w:vAlign w:val="center"/>
          </w:tcPr>
          <w:p w14:paraId="46AC68F6" w14:textId="287EA4C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5F437294" w14:textId="1D83626C"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12</w:t>
            </w:r>
          </w:p>
        </w:tc>
        <w:tc>
          <w:tcPr>
            <w:tcW w:w="1284" w:type="dxa"/>
            <w:shd w:val="clear" w:color="auto" w:fill="auto"/>
            <w:vAlign w:val="center"/>
          </w:tcPr>
          <w:p w14:paraId="398F8BC1" w14:textId="546388B3"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16</w:t>
            </w:r>
          </w:p>
        </w:tc>
      </w:tr>
      <w:tr w:rsidR="001362B9" w:rsidRPr="002067B4" w14:paraId="7585E53F" w14:textId="52F14BD8" w:rsidTr="00A32E5F">
        <w:trPr>
          <w:trHeight w:val="290"/>
          <w:jc w:val="center"/>
        </w:trPr>
        <w:tc>
          <w:tcPr>
            <w:cnfStyle w:val="001000000000" w:firstRow="0" w:lastRow="0" w:firstColumn="1" w:lastColumn="0" w:oddVBand="0" w:evenVBand="0" w:oddHBand="0" w:evenHBand="0" w:firstRowFirstColumn="0" w:firstRowLastColumn="0" w:lastRowFirstColumn="0" w:lastRowLastColumn="0"/>
            <w:tcW w:w="0" w:type="auto"/>
            <w:vMerge/>
            <w:noWrap/>
            <w:vAlign w:val="center"/>
          </w:tcPr>
          <w:p w14:paraId="154C6EB5" w14:textId="27782EEE" w:rsidR="001362B9" w:rsidRPr="002067B4" w:rsidRDefault="001362B9" w:rsidP="001362B9">
            <w:pPr>
              <w:spacing w:after="0"/>
              <w:jc w:val="center"/>
              <w:rPr>
                <w:rFonts w:eastAsia="Times New Roman"/>
                <w:color w:val="000000"/>
                <w:lang w:val="en-US"/>
              </w:rPr>
            </w:pPr>
          </w:p>
        </w:tc>
        <w:tc>
          <w:tcPr>
            <w:tcW w:w="0" w:type="auto"/>
            <w:vMerge/>
            <w:noWrap/>
            <w:vAlign w:val="center"/>
          </w:tcPr>
          <w:p w14:paraId="303FC449" w14:textId="580906E4" w:rsidR="001362B9" w:rsidRPr="002067B4"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p>
        </w:tc>
        <w:tc>
          <w:tcPr>
            <w:tcW w:w="0" w:type="auto"/>
            <w:vMerge/>
            <w:shd w:val="clear" w:color="auto" w:fill="auto"/>
            <w:noWrap/>
            <w:vAlign w:val="center"/>
          </w:tcPr>
          <w:p w14:paraId="76ED54CC" w14:textId="3D88579D"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bCs/>
                <w:lang w:val="en-US"/>
              </w:rPr>
            </w:pPr>
          </w:p>
        </w:tc>
        <w:tc>
          <w:tcPr>
            <w:tcW w:w="0" w:type="auto"/>
            <w:shd w:val="clear" w:color="auto" w:fill="auto"/>
            <w:noWrap/>
            <w:vAlign w:val="center"/>
            <w:hideMark/>
          </w:tcPr>
          <w:p w14:paraId="09DB14D1" w14:textId="5321DE82"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val="en-US"/>
              </w:rPr>
            </w:pPr>
            <w:r w:rsidRPr="00A32E5F">
              <w:rPr>
                <w:rFonts w:eastAsia="Times New Roman"/>
                <w:color w:val="000000"/>
                <w:lang w:val="en-US"/>
              </w:rPr>
              <w:t>8</w:t>
            </w:r>
          </w:p>
        </w:tc>
        <w:tc>
          <w:tcPr>
            <w:tcW w:w="0" w:type="auto"/>
            <w:shd w:val="clear" w:color="auto" w:fill="auto"/>
            <w:noWrap/>
            <w:vAlign w:val="center"/>
            <w:hideMark/>
          </w:tcPr>
          <w:p w14:paraId="5894950D" w14:textId="1DBEA8D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116.9%</w:t>
            </w:r>
          </w:p>
        </w:tc>
        <w:tc>
          <w:tcPr>
            <w:tcW w:w="0" w:type="auto"/>
            <w:shd w:val="clear" w:color="auto" w:fill="auto"/>
            <w:noWrap/>
            <w:vAlign w:val="center"/>
            <w:hideMark/>
          </w:tcPr>
          <w:p w14:paraId="5726F175" w14:textId="21D5934F"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119.9%</w:t>
            </w:r>
          </w:p>
        </w:tc>
        <w:tc>
          <w:tcPr>
            <w:tcW w:w="0" w:type="auto"/>
            <w:shd w:val="clear" w:color="auto" w:fill="auto"/>
            <w:noWrap/>
            <w:vAlign w:val="center"/>
            <w:hideMark/>
          </w:tcPr>
          <w:p w14:paraId="0C09F843" w14:textId="067131D4"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lang w:val="en-US"/>
              </w:rPr>
              <w:t>219.3%</w:t>
            </w:r>
          </w:p>
        </w:tc>
        <w:tc>
          <w:tcPr>
            <w:tcW w:w="0" w:type="auto"/>
            <w:shd w:val="clear" w:color="auto" w:fill="auto"/>
            <w:vAlign w:val="center"/>
          </w:tcPr>
          <w:p w14:paraId="0DF78A6B" w14:textId="09800F1A"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4</w:t>
            </w:r>
          </w:p>
        </w:tc>
        <w:tc>
          <w:tcPr>
            <w:tcW w:w="1411" w:type="dxa"/>
            <w:shd w:val="clear" w:color="auto" w:fill="auto"/>
            <w:vAlign w:val="center"/>
          </w:tcPr>
          <w:p w14:paraId="6C85E264" w14:textId="10D00448"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16</w:t>
            </w:r>
          </w:p>
        </w:tc>
        <w:tc>
          <w:tcPr>
            <w:tcW w:w="1284" w:type="dxa"/>
            <w:shd w:val="clear" w:color="auto" w:fill="auto"/>
            <w:vAlign w:val="center"/>
          </w:tcPr>
          <w:p w14:paraId="674B0705" w14:textId="1740FB9A" w:rsidR="001362B9" w:rsidRPr="00A32E5F" w:rsidRDefault="001362B9" w:rsidP="001362B9">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lang w:val="en-US"/>
              </w:rPr>
            </w:pPr>
            <w:r w:rsidRPr="00A32E5F">
              <w:rPr>
                <w:rFonts w:eastAsia="Times New Roman"/>
                <w:color w:val="000000"/>
                <w:lang w:val="en-US"/>
              </w:rPr>
              <w:t>20</w:t>
            </w:r>
          </w:p>
        </w:tc>
      </w:tr>
    </w:tbl>
    <w:p w14:paraId="782294B9" w14:textId="77777777" w:rsidR="002B3B3B" w:rsidRDefault="002B3B3B" w:rsidP="00FA1D2B">
      <w:pPr>
        <w:pStyle w:val="2222"/>
        <w:spacing w:after="120" w:line="288" w:lineRule="auto"/>
        <w:ind w:firstLineChars="0" w:firstLine="0"/>
        <w:rPr>
          <w:rFonts w:cs="Times New Roman"/>
          <w:lang w:val="en-US" w:eastAsia="ko-KR"/>
        </w:rPr>
      </w:pPr>
    </w:p>
    <w:p w14:paraId="2EC50F12" w14:textId="77777777" w:rsidR="002067B4" w:rsidRPr="008E3105" w:rsidRDefault="002067B4" w:rsidP="00FA1D2B">
      <w:pPr>
        <w:pStyle w:val="2222"/>
        <w:spacing w:after="120" w:line="288" w:lineRule="auto"/>
        <w:ind w:firstLineChars="0" w:firstLine="0"/>
        <w:rPr>
          <w:rFonts w:cs="Times New Roman"/>
          <w:lang w:val="en-US" w:eastAsia="ko-KR"/>
        </w:rPr>
      </w:pPr>
    </w:p>
    <w:sectPr w:rsidR="002067B4" w:rsidRPr="008E3105" w:rsidSect="00666C4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4E7ED" w14:textId="77777777" w:rsidR="006D71E3" w:rsidRDefault="006D71E3">
      <w:r>
        <w:separator/>
      </w:r>
    </w:p>
  </w:endnote>
  <w:endnote w:type="continuationSeparator" w:id="0">
    <w:p w14:paraId="2165FE80" w14:textId="77777777" w:rsidR="006D71E3" w:rsidRDefault="006D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9E7C8" w14:textId="77777777" w:rsidR="006D71E3" w:rsidRDefault="006D71E3">
      <w:r>
        <w:separator/>
      </w:r>
    </w:p>
  </w:footnote>
  <w:footnote w:type="continuationSeparator" w:id="0">
    <w:p w14:paraId="561D2DDB" w14:textId="77777777" w:rsidR="006D71E3" w:rsidRDefault="006D7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6A6C85" w:rsidRDefault="006A6C85">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B82FB" w14:textId="77777777" w:rsidR="006A6C85" w:rsidRDefault="006A6C8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B735B"/>
    <w:multiLevelType w:val="hybridMultilevel"/>
    <w:tmpl w:val="7E0E7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528BE"/>
    <w:multiLevelType w:val="hybridMultilevel"/>
    <w:tmpl w:val="E69CB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0372C"/>
    <w:multiLevelType w:val="hybridMultilevel"/>
    <w:tmpl w:val="BB7E5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69139A"/>
    <w:multiLevelType w:val="hybridMultilevel"/>
    <w:tmpl w:val="22987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F13A03"/>
    <w:multiLevelType w:val="hybridMultilevel"/>
    <w:tmpl w:val="87566C2A"/>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17"/>
  </w:num>
  <w:num w:numId="5">
    <w:abstractNumId w:val="2"/>
  </w:num>
  <w:num w:numId="6">
    <w:abstractNumId w:val="16"/>
  </w:num>
  <w:num w:numId="7">
    <w:abstractNumId w:val="0"/>
  </w:num>
  <w:num w:numId="8">
    <w:abstractNumId w:val="11"/>
  </w:num>
  <w:num w:numId="9">
    <w:abstractNumId w:val="7"/>
  </w:num>
  <w:num w:numId="10">
    <w:abstractNumId w:val="15"/>
  </w:num>
  <w:num w:numId="1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num>
  <w:num w:numId="14">
    <w:abstractNumId w:val="14"/>
  </w:num>
  <w:num w:numId="15">
    <w:abstractNumId w:val="1"/>
  </w:num>
  <w:num w:numId="16">
    <w:abstractNumId w:val="10"/>
  </w:num>
  <w:num w:numId="17">
    <w:abstractNumId w:val="13"/>
  </w:num>
  <w:num w:numId="18">
    <w:abstractNumId w:val="1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5"/>
    <w:lvlOverride w:ilvl="0">
      <w:startOverride w:val="7"/>
    </w:lvlOverride>
  </w:num>
  <w:num w:numId="22">
    <w:abstractNumId w:val="8"/>
  </w:num>
  <w:num w:numId="2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377D"/>
    <w:rsid w:val="00004076"/>
    <w:rsid w:val="00005774"/>
    <w:rsid w:val="000105D0"/>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01D8"/>
    <w:rsid w:val="000411A3"/>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7E5"/>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1847"/>
    <w:rsid w:val="000B25B1"/>
    <w:rsid w:val="000B2B68"/>
    <w:rsid w:val="000B4FD7"/>
    <w:rsid w:val="000B5185"/>
    <w:rsid w:val="000B59F8"/>
    <w:rsid w:val="000B740C"/>
    <w:rsid w:val="000C074E"/>
    <w:rsid w:val="000C0F14"/>
    <w:rsid w:val="000C14C1"/>
    <w:rsid w:val="000C2DAC"/>
    <w:rsid w:val="000C3A4B"/>
    <w:rsid w:val="000C650F"/>
    <w:rsid w:val="000C7989"/>
    <w:rsid w:val="000D00DD"/>
    <w:rsid w:val="000D1026"/>
    <w:rsid w:val="000D19F4"/>
    <w:rsid w:val="000D225C"/>
    <w:rsid w:val="000D25AC"/>
    <w:rsid w:val="000D4806"/>
    <w:rsid w:val="000D5200"/>
    <w:rsid w:val="000D63AD"/>
    <w:rsid w:val="000D758A"/>
    <w:rsid w:val="000D77B5"/>
    <w:rsid w:val="000E2201"/>
    <w:rsid w:val="000E3045"/>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E7E"/>
    <w:rsid w:val="0012710F"/>
    <w:rsid w:val="00127AD3"/>
    <w:rsid w:val="0013023F"/>
    <w:rsid w:val="0013041F"/>
    <w:rsid w:val="00130A5C"/>
    <w:rsid w:val="00131748"/>
    <w:rsid w:val="00132CCB"/>
    <w:rsid w:val="00133026"/>
    <w:rsid w:val="00135071"/>
    <w:rsid w:val="00135EB0"/>
    <w:rsid w:val="001362B9"/>
    <w:rsid w:val="00136E4B"/>
    <w:rsid w:val="00137048"/>
    <w:rsid w:val="00137383"/>
    <w:rsid w:val="001379DE"/>
    <w:rsid w:val="00140E28"/>
    <w:rsid w:val="0014343A"/>
    <w:rsid w:val="00143869"/>
    <w:rsid w:val="00146DE6"/>
    <w:rsid w:val="001471E4"/>
    <w:rsid w:val="00147305"/>
    <w:rsid w:val="001503B7"/>
    <w:rsid w:val="0015445A"/>
    <w:rsid w:val="0015642F"/>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E01A3"/>
    <w:rsid w:val="001E083E"/>
    <w:rsid w:val="001E0AE2"/>
    <w:rsid w:val="001E2551"/>
    <w:rsid w:val="001E3356"/>
    <w:rsid w:val="001E5959"/>
    <w:rsid w:val="001E6796"/>
    <w:rsid w:val="001E714B"/>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067B4"/>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4598"/>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2E33"/>
    <w:rsid w:val="002738B0"/>
    <w:rsid w:val="002738CD"/>
    <w:rsid w:val="00274128"/>
    <w:rsid w:val="00274425"/>
    <w:rsid w:val="00274B12"/>
    <w:rsid w:val="002757AF"/>
    <w:rsid w:val="0027602A"/>
    <w:rsid w:val="00277F82"/>
    <w:rsid w:val="00280698"/>
    <w:rsid w:val="00280A79"/>
    <w:rsid w:val="00280D04"/>
    <w:rsid w:val="00280DEA"/>
    <w:rsid w:val="00280FB4"/>
    <w:rsid w:val="002823A4"/>
    <w:rsid w:val="00282DB7"/>
    <w:rsid w:val="00283135"/>
    <w:rsid w:val="002831F2"/>
    <w:rsid w:val="00284524"/>
    <w:rsid w:val="002852BE"/>
    <w:rsid w:val="0028533F"/>
    <w:rsid w:val="002854F0"/>
    <w:rsid w:val="00286312"/>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6F2"/>
    <w:rsid w:val="002D2EF7"/>
    <w:rsid w:val="002D488B"/>
    <w:rsid w:val="002D53AF"/>
    <w:rsid w:val="002D5B2B"/>
    <w:rsid w:val="002D5F5C"/>
    <w:rsid w:val="002D6FEE"/>
    <w:rsid w:val="002E083E"/>
    <w:rsid w:val="002E11B9"/>
    <w:rsid w:val="002E15BC"/>
    <w:rsid w:val="002E21AC"/>
    <w:rsid w:val="002E2BE8"/>
    <w:rsid w:val="002E2CB4"/>
    <w:rsid w:val="002E315D"/>
    <w:rsid w:val="002E333E"/>
    <w:rsid w:val="002E356F"/>
    <w:rsid w:val="002E5EC2"/>
    <w:rsid w:val="002E60AB"/>
    <w:rsid w:val="002F00C5"/>
    <w:rsid w:val="002F28D8"/>
    <w:rsid w:val="002F47AD"/>
    <w:rsid w:val="002F5790"/>
    <w:rsid w:val="002F6FEC"/>
    <w:rsid w:val="003006CA"/>
    <w:rsid w:val="0030336D"/>
    <w:rsid w:val="00303947"/>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FE3"/>
    <w:rsid w:val="003763E6"/>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B7F"/>
    <w:rsid w:val="003D3E2E"/>
    <w:rsid w:val="003D44EF"/>
    <w:rsid w:val="003D79CD"/>
    <w:rsid w:val="003E079D"/>
    <w:rsid w:val="003E0FEE"/>
    <w:rsid w:val="003E1753"/>
    <w:rsid w:val="003E2779"/>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4A1"/>
    <w:rsid w:val="00445831"/>
    <w:rsid w:val="00445AAE"/>
    <w:rsid w:val="00446300"/>
    <w:rsid w:val="004465B5"/>
    <w:rsid w:val="004471CE"/>
    <w:rsid w:val="004474DC"/>
    <w:rsid w:val="00450479"/>
    <w:rsid w:val="00450C48"/>
    <w:rsid w:val="00452E54"/>
    <w:rsid w:val="004530DE"/>
    <w:rsid w:val="0045322C"/>
    <w:rsid w:val="004540F0"/>
    <w:rsid w:val="00454D22"/>
    <w:rsid w:val="00455E7A"/>
    <w:rsid w:val="00461C28"/>
    <w:rsid w:val="004624A3"/>
    <w:rsid w:val="00463AFB"/>
    <w:rsid w:val="00465F1F"/>
    <w:rsid w:val="0046666D"/>
    <w:rsid w:val="0046776E"/>
    <w:rsid w:val="00467A29"/>
    <w:rsid w:val="0047010E"/>
    <w:rsid w:val="00470D36"/>
    <w:rsid w:val="0047128F"/>
    <w:rsid w:val="00471DE8"/>
    <w:rsid w:val="00473944"/>
    <w:rsid w:val="00474000"/>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2DA4"/>
    <w:rsid w:val="004B37FF"/>
    <w:rsid w:val="004B38E1"/>
    <w:rsid w:val="004B3FBF"/>
    <w:rsid w:val="004B461B"/>
    <w:rsid w:val="004B4C96"/>
    <w:rsid w:val="004B652A"/>
    <w:rsid w:val="004B6B60"/>
    <w:rsid w:val="004C1AC1"/>
    <w:rsid w:val="004C2115"/>
    <w:rsid w:val="004C4315"/>
    <w:rsid w:val="004C48A5"/>
    <w:rsid w:val="004C558B"/>
    <w:rsid w:val="004C5D06"/>
    <w:rsid w:val="004C657C"/>
    <w:rsid w:val="004C6B92"/>
    <w:rsid w:val="004D026D"/>
    <w:rsid w:val="004D108A"/>
    <w:rsid w:val="004D159C"/>
    <w:rsid w:val="004D1A62"/>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0BA7"/>
    <w:rsid w:val="004F120F"/>
    <w:rsid w:val="004F17BB"/>
    <w:rsid w:val="00501690"/>
    <w:rsid w:val="00501E42"/>
    <w:rsid w:val="00502BD8"/>
    <w:rsid w:val="00503531"/>
    <w:rsid w:val="00503993"/>
    <w:rsid w:val="00503D31"/>
    <w:rsid w:val="00503F9D"/>
    <w:rsid w:val="00507091"/>
    <w:rsid w:val="005074C4"/>
    <w:rsid w:val="005079CC"/>
    <w:rsid w:val="005109A0"/>
    <w:rsid w:val="005109AE"/>
    <w:rsid w:val="00512B09"/>
    <w:rsid w:val="00514405"/>
    <w:rsid w:val="00514BFF"/>
    <w:rsid w:val="00514ED9"/>
    <w:rsid w:val="00515B5F"/>
    <w:rsid w:val="00515DAE"/>
    <w:rsid w:val="0051746B"/>
    <w:rsid w:val="00520036"/>
    <w:rsid w:val="0052348B"/>
    <w:rsid w:val="00524718"/>
    <w:rsid w:val="00526A64"/>
    <w:rsid w:val="00526BC4"/>
    <w:rsid w:val="00526D20"/>
    <w:rsid w:val="00526FD1"/>
    <w:rsid w:val="00527339"/>
    <w:rsid w:val="00527ED7"/>
    <w:rsid w:val="00527FA8"/>
    <w:rsid w:val="0053211B"/>
    <w:rsid w:val="00533D37"/>
    <w:rsid w:val="00534DF6"/>
    <w:rsid w:val="00535E8C"/>
    <w:rsid w:val="00537F42"/>
    <w:rsid w:val="00540BAC"/>
    <w:rsid w:val="00541207"/>
    <w:rsid w:val="00542041"/>
    <w:rsid w:val="00542901"/>
    <w:rsid w:val="005434F9"/>
    <w:rsid w:val="0054367D"/>
    <w:rsid w:val="0054386E"/>
    <w:rsid w:val="005439C4"/>
    <w:rsid w:val="0054620D"/>
    <w:rsid w:val="00546A0F"/>
    <w:rsid w:val="0055154A"/>
    <w:rsid w:val="0055167A"/>
    <w:rsid w:val="00552195"/>
    <w:rsid w:val="00553AF5"/>
    <w:rsid w:val="00555F2F"/>
    <w:rsid w:val="00557AD6"/>
    <w:rsid w:val="00566C74"/>
    <w:rsid w:val="00567B39"/>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3704"/>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525"/>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D7BDC"/>
    <w:rsid w:val="005E2034"/>
    <w:rsid w:val="005E505C"/>
    <w:rsid w:val="005E52D7"/>
    <w:rsid w:val="005E5807"/>
    <w:rsid w:val="005E58B6"/>
    <w:rsid w:val="005F1FBE"/>
    <w:rsid w:val="005F39B2"/>
    <w:rsid w:val="005F3D29"/>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5A3A"/>
    <w:rsid w:val="00615A8C"/>
    <w:rsid w:val="00615CB1"/>
    <w:rsid w:val="00615D77"/>
    <w:rsid w:val="00615D88"/>
    <w:rsid w:val="00615FF5"/>
    <w:rsid w:val="006166FB"/>
    <w:rsid w:val="00616AB6"/>
    <w:rsid w:val="00616F0A"/>
    <w:rsid w:val="00617606"/>
    <w:rsid w:val="006178E4"/>
    <w:rsid w:val="0062063C"/>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B1"/>
    <w:rsid w:val="006663DD"/>
    <w:rsid w:val="006666D6"/>
    <w:rsid w:val="00666C40"/>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0C25"/>
    <w:rsid w:val="006918CE"/>
    <w:rsid w:val="0069233F"/>
    <w:rsid w:val="00694BC6"/>
    <w:rsid w:val="00696206"/>
    <w:rsid w:val="00696E55"/>
    <w:rsid w:val="00697EAC"/>
    <w:rsid w:val="006A0925"/>
    <w:rsid w:val="006A0BF0"/>
    <w:rsid w:val="006A1325"/>
    <w:rsid w:val="006A25EB"/>
    <w:rsid w:val="006A2856"/>
    <w:rsid w:val="006A2D38"/>
    <w:rsid w:val="006A3055"/>
    <w:rsid w:val="006A4CEE"/>
    <w:rsid w:val="006A6C85"/>
    <w:rsid w:val="006A6FAD"/>
    <w:rsid w:val="006B16F0"/>
    <w:rsid w:val="006B1826"/>
    <w:rsid w:val="006B1A8D"/>
    <w:rsid w:val="006B347E"/>
    <w:rsid w:val="006B4275"/>
    <w:rsid w:val="006B43E1"/>
    <w:rsid w:val="006B5A69"/>
    <w:rsid w:val="006B5B14"/>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1E3"/>
    <w:rsid w:val="006D75D9"/>
    <w:rsid w:val="006D7619"/>
    <w:rsid w:val="006E0232"/>
    <w:rsid w:val="006E02D0"/>
    <w:rsid w:val="006E1EC6"/>
    <w:rsid w:val="006E5428"/>
    <w:rsid w:val="006E5E2C"/>
    <w:rsid w:val="006E6697"/>
    <w:rsid w:val="006E6A76"/>
    <w:rsid w:val="006F199F"/>
    <w:rsid w:val="006F204A"/>
    <w:rsid w:val="006F4BD2"/>
    <w:rsid w:val="006F4D44"/>
    <w:rsid w:val="006F4D8E"/>
    <w:rsid w:val="006F6EF9"/>
    <w:rsid w:val="006F7234"/>
    <w:rsid w:val="006F79E1"/>
    <w:rsid w:val="006F7BCF"/>
    <w:rsid w:val="00700E6C"/>
    <w:rsid w:val="0070274F"/>
    <w:rsid w:val="00705B9C"/>
    <w:rsid w:val="00706011"/>
    <w:rsid w:val="00707D33"/>
    <w:rsid w:val="0071081E"/>
    <w:rsid w:val="007110E6"/>
    <w:rsid w:val="00711976"/>
    <w:rsid w:val="00712D0F"/>
    <w:rsid w:val="007130BE"/>
    <w:rsid w:val="00713586"/>
    <w:rsid w:val="00713F3B"/>
    <w:rsid w:val="00714030"/>
    <w:rsid w:val="007155D3"/>
    <w:rsid w:val="007177ED"/>
    <w:rsid w:val="0072161A"/>
    <w:rsid w:val="0072162A"/>
    <w:rsid w:val="0072166D"/>
    <w:rsid w:val="007217AF"/>
    <w:rsid w:val="00721B2F"/>
    <w:rsid w:val="007238F8"/>
    <w:rsid w:val="00725549"/>
    <w:rsid w:val="00727363"/>
    <w:rsid w:val="00731A65"/>
    <w:rsid w:val="007321FF"/>
    <w:rsid w:val="007325B4"/>
    <w:rsid w:val="00732DD7"/>
    <w:rsid w:val="00732EEB"/>
    <w:rsid w:val="007352A5"/>
    <w:rsid w:val="007352D7"/>
    <w:rsid w:val="00735463"/>
    <w:rsid w:val="00737F4D"/>
    <w:rsid w:val="00741B03"/>
    <w:rsid w:val="00741B82"/>
    <w:rsid w:val="00744BB3"/>
    <w:rsid w:val="00745524"/>
    <w:rsid w:val="00746D48"/>
    <w:rsid w:val="007509A2"/>
    <w:rsid w:val="00750E72"/>
    <w:rsid w:val="00753A41"/>
    <w:rsid w:val="00754C34"/>
    <w:rsid w:val="00755AD7"/>
    <w:rsid w:val="00756864"/>
    <w:rsid w:val="00760CE8"/>
    <w:rsid w:val="00761697"/>
    <w:rsid w:val="007625EC"/>
    <w:rsid w:val="00763730"/>
    <w:rsid w:val="007658A6"/>
    <w:rsid w:val="00766BA8"/>
    <w:rsid w:val="00771F90"/>
    <w:rsid w:val="0077429E"/>
    <w:rsid w:val="00775769"/>
    <w:rsid w:val="00775996"/>
    <w:rsid w:val="0077688F"/>
    <w:rsid w:val="00776D43"/>
    <w:rsid w:val="00776FB7"/>
    <w:rsid w:val="00777922"/>
    <w:rsid w:val="007801A5"/>
    <w:rsid w:val="0078020B"/>
    <w:rsid w:val="00780248"/>
    <w:rsid w:val="0078028C"/>
    <w:rsid w:val="00781967"/>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5DBB"/>
    <w:rsid w:val="007C6231"/>
    <w:rsid w:val="007C6C38"/>
    <w:rsid w:val="007C7CD0"/>
    <w:rsid w:val="007D10A2"/>
    <w:rsid w:val="007D3572"/>
    <w:rsid w:val="007D3B92"/>
    <w:rsid w:val="007D7A62"/>
    <w:rsid w:val="007E1D9C"/>
    <w:rsid w:val="007E42C7"/>
    <w:rsid w:val="007E463A"/>
    <w:rsid w:val="007E57D0"/>
    <w:rsid w:val="007E63F4"/>
    <w:rsid w:val="007E7BC8"/>
    <w:rsid w:val="007E7FB0"/>
    <w:rsid w:val="007F3AB3"/>
    <w:rsid w:val="007F400E"/>
    <w:rsid w:val="007F6E64"/>
    <w:rsid w:val="007F75CB"/>
    <w:rsid w:val="007F76E5"/>
    <w:rsid w:val="00801BC8"/>
    <w:rsid w:val="00802A3E"/>
    <w:rsid w:val="00802B57"/>
    <w:rsid w:val="0080308A"/>
    <w:rsid w:val="00804239"/>
    <w:rsid w:val="0080482F"/>
    <w:rsid w:val="0080490F"/>
    <w:rsid w:val="00804EB4"/>
    <w:rsid w:val="0080578A"/>
    <w:rsid w:val="00806712"/>
    <w:rsid w:val="00806F56"/>
    <w:rsid w:val="0080740C"/>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5EA4"/>
    <w:rsid w:val="008266A5"/>
    <w:rsid w:val="008272E0"/>
    <w:rsid w:val="00830131"/>
    <w:rsid w:val="00830BDE"/>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D77C0"/>
    <w:rsid w:val="008E0543"/>
    <w:rsid w:val="008E1091"/>
    <w:rsid w:val="008E158C"/>
    <w:rsid w:val="008E1CBB"/>
    <w:rsid w:val="008E1EB9"/>
    <w:rsid w:val="008E23CE"/>
    <w:rsid w:val="008E3105"/>
    <w:rsid w:val="008E436D"/>
    <w:rsid w:val="008E644F"/>
    <w:rsid w:val="008E686B"/>
    <w:rsid w:val="008F2B67"/>
    <w:rsid w:val="008F301F"/>
    <w:rsid w:val="008F3F16"/>
    <w:rsid w:val="008F5048"/>
    <w:rsid w:val="008F55A4"/>
    <w:rsid w:val="008F6B64"/>
    <w:rsid w:val="00901A1C"/>
    <w:rsid w:val="00902F8A"/>
    <w:rsid w:val="009038A9"/>
    <w:rsid w:val="00904908"/>
    <w:rsid w:val="009078A9"/>
    <w:rsid w:val="00907CE5"/>
    <w:rsid w:val="00907D56"/>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241"/>
    <w:rsid w:val="009337C2"/>
    <w:rsid w:val="00933BB5"/>
    <w:rsid w:val="0093452D"/>
    <w:rsid w:val="00936B00"/>
    <w:rsid w:val="00936D97"/>
    <w:rsid w:val="0093725F"/>
    <w:rsid w:val="00937E33"/>
    <w:rsid w:val="00941062"/>
    <w:rsid w:val="00941AF2"/>
    <w:rsid w:val="009427BF"/>
    <w:rsid w:val="009446EA"/>
    <w:rsid w:val="00947445"/>
    <w:rsid w:val="009502CE"/>
    <w:rsid w:val="00951465"/>
    <w:rsid w:val="0095220B"/>
    <w:rsid w:val="00952316"/>
    <w:rsid w:val="00952B7C"/>
    <w:rsid w:val="009532C0"/>
    <w:rsid w:val="00954215"/>
    <w:rsid w:val="00954A84"/>
    <w:rsid w:val="00954DFD"/>
    <w:rsid w:val="009564A8"/>
    <w:rsid w:val="0096038E"/>
    <w:rsid w:val="0096225A"/>
    <w:rsid w:val="009623EE"/>
    <w:rsid w:val="00964FE6"/>
    <w:rsid w:val="00967D6D"/>
    <w:rsid w:val="00971748"/>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30C7"/>
    <w:rsid w:val="009A4121"/>
    <w:rsid w:val="009A546A"/>
    <w:rsid w:val="009B02B7"/>
    <w:rsid w:val="009B245D"/>
    <w:rsid w:val="009B260E"/>
    <w:rsid w:val="009B37A5"/>
    <w:rsid w:val="009B40B4"/>
    <w:rsid w:val="009B4837"/>
    <w:rsid w:val="009B78C4"/>
    <w:rsid w:val="009B7F8D"/>
    <w:rsid w:val="009C09A4"/>
    <w:rsid w:val="009C2DD9"/>
    <w:rsid w:val="009C3A0D"/>
    <w:rsid w:val="009C43E2"/>
    <w:rsid w:val="009C58E6"/>
    <w:rsid w:val="009C614B"/>
    <w:rsid w:val="009C6B5D"/>
    <w:rsid w:val="009C7129"/>
    <w:rsid w:val="009D0202"/>
    <w:rsid w:val="009D062C"/>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9F5DDE"/>
    <w:rsid w:val="00A02D0F"/>
    <w:rsid w:val="00A0774C"/>
    <w:rsid w:val="00A10525"/>
    <w:rsid w:val="00A109F3"/>
    <w:rsid w:val="00A11BF8"/>
    <w:rsid w:val="00A12A90"/>
    <w:rsid w:val="00A14A77"/>
    <w:rsid w:val="00A16523"/>
    <w:rsid w:val="00A17773"/>
    <w:rsid w:val="00A207CA"/>
    <w:rsid w:val="00A2115E"/>
    <w:rsid w:val="00A21216"/>
    <w:rsid w:val="00A232AC"/>
    <w:rsid w:val="00A252F2"/>
    <w:rsid w:val="00A26BD0"/>
    <w:rsid w:val="00A2781F"/>
    <w:rsid w:val="00A30119"/>
    <w:rsid w:val="00A31043"/>
    <w:rsid w:val="00A31E66"/>
    <w:rsid w:val="00A328DA"/>
    <w:rsid w:val="00A32E5F"/>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1E9"/>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9C7"/>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6A3"/>
    <w:rsid w:val="00AE2D81"/>
    <w:rsid w:val="00AE37BC"/>
    <w:rsid w:val="00AE4511"/>
    <w:rsid w:val="00AE48F2"/>
    <w:rsid w:val="00AE5FB0"/>
    <w:rsid w:val="00AE619F"/>
    <w:rsid w:val="00AE64B0"/>
    <w:rsid w:val="00AE6811"/>
    <w:rsid w:val="00AE7722"/>
    <w:rsid w:val="00AE7D0F"/>
    <w:rsid w:val="00AF05EB"/>
    <w:rsid w:val="00AF0E2B"/>
    <w:rsid w:val="00AF1310"/>
    <w:rsid w:val="00AF1F04"/>
    <w:rsid w:val="00AF337A"/>
    <w:rsid w:val="00AF35E6"/>
    <w:rsid w:val="00AF3E30"/>
    <w:rsid w:val="00AF422F"/>
    <w:rsid w:val="00AF5631"/>
    <w:rsid w:val="00AF744F"/>
    <w:rsid w:val="00AF75BE"/>
    <w:rsid w:val="00AF78AE"/>
    <w:rsid w:val="00B009C4"/>
    <w:rsid w:val="00B00C96"/>
    <w:rsid w:val="00B01DB5"/>
    <w:rsid w:val="00B024C5"/>
    <w:rsid w:val="00B058D3"/>
    <w:rsid w:val="00B07270"/>
    <w:rsid w:val="00B10EBC"/>
    <w:rsid w:val="00B12C3B"/>
    <w:rsid w:val="00B12CB3"/>
    <w:rsid w:val="00B12EF7"/>
    <w:rsid w:val="00B14D91"/>
    <w:rsid w:val="00B17653"/>
    <w:rsid w:val="00B202C2"/>
    <w:rsid w:val="00B202F1"/>
    <w:rsid w:val="00B205A5"/>
    <w:rsid w:val="00B2075D"/>
    <w:rsid w:val="00B2265E"/>
    <w:rsid w:val="00B239F3"/>
    <w:rsid w:val="00B2681C"/>
    <w:rsid w:val="00B31254"/>
    <w:rsid w:val="00B325F5"/>
    <w:rsid w:val="00B32D75"/>
    <w:rsid w:val="00B33290"/>
    <w:rsid w:val="00B3361F"/>
    <w:rsid w:val="00B339CD"/>
    <w:rsid w:val="00B342AC"/>
    <w:rsid w:val="00B3761E"/>
    <w:rsid w:val="00B410F3"/>
    <w:rsid w:val="00B42710"/>
    <w:rsid w:val="00B4397A"/>
    <w:rsid w:val="00B46D0F"/>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54"/>
    <w:rsid w:val="00BE389E"/>
    <w:rsid w:val="00BE38BD"/>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3743"/>
    <w:rsid w:val="00C44D97"/>
    <w:rsid w:val="00C46ECB"/>
    <w:rsid w:val="00C471C4"/>
    <w:rsid w:val="00C50936"/>
    <w:rsid w:val="00C511E0"/>
    <w:rsid w:val="00C516E6"/>
    <w:rsid w:val="00C52045"/>
    <w:rsid w:val="00C53A87"/>
    <w:rsid w:val="00C543CC"/>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5EDB"/>
    <w:rsid w:val="00D06D97"/>
    <w:rsid w:val="00D075D0"/>
    <w:rsid w:val="00D07B94"/>
    <w:rsid w:val="00D07EC2"/>
    <w:rsid w:val="00D10778"/>
    <w:rsid w:val="00D10FA1"/>
    <w:rsid w:val="00D11A6D"/>
    <w:rsid w:val="00D147F5"/>
    <w:rsid w:val="00D14C5D"/>
    <w:rsid w:val="00D15127"/>
    <w:rsid w:val="00D154BD"/>
    <w:rsid w:val="00D15929"/>
    <w:rsid w:val="00D15A2A"/>
    <w:rsid w:val="00D16868"/>
    <w:rsid w:val="00D174C1"/>
    <w:rsid w:val="00D17DCE"/>
    <w:rsid w:val="00D21563"/>
    <w:rsid w:val="00D21711"/>
    <w:rsid w:val="00D22CEF"/>
    <w:rsid w:val="00D2719E"/>
    <w:rsid w:val="00D2759E"/>
    <w:rsid w:val="00D27B3D"/>
    <w:rsid w:val="00D3051E"/>
    <w:rsid w:val="00D309E1"/>
    <w:rsid w:val="00D32097"/>
    <w:rsid w:val="00D33009"/>
    <w:rsid w:val="00D33ACD"/>
    <w:rsid w:val="00D348E4"/>
    <w:rsid w:val="00D40DAB"/>
    <w:rsid w:val="00D4171F"/>
    <w:rsid w:val="00D50210"/>
    <w:rsid w:val="00D51146"/>
    <w:rsid w:val="00D5147E"/>
    <w:rsid w:val="00D51890"/>
    <w:rsid w:val="00D51B09"/>
    <w:rsid w:val="00D53155"/>
    <w:rsid w:val="00D53BD8"/>
    <w:rsid w:val="00D54DB1"/>
    <w:rsid w:val="00D5568B"/>
    <w:rsid w:val="00D55C99"/>
    <w:rsid w:val="00D55F94"/>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577A"/>
    <w:rsid w:val="00DD6237"/>
    <w:rsid w:val="00DE135B"/>
    <w:rsid w:val="00DE13AB"/>
    <w:rsid w:val="00DE1C7E"/>
    <w:rsid w:val="00DE31AD"/>
    <w:rsid w:val="00DE714A"/>
    <w:rsid w:val="00DE7E3C"/>
    <w:rsid w:val="00DF27CE"/>
    <w:rsid w:val="00DF2CB8"/>
    <w:rsid w:val="00DF3A66"/>
    <w:rsid w:val="00DF3E32"/>
    <w:rsid w:val="00DF419C"/>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0F74"/>
    <w:rsid w:val="00E21452"/>
    <w:rsid w:val="00E216E5"/>
    <w:rsid w:val="00E237D1"/>
    <w:rsid w:val="00E2410B"/>
    <w:rsid w:val="00E244B4"/>
    <w:rsid w:val="00E2520C"/>
    <w:rsid w:val="00E2793E"/>
    <w:rsid w:val="00E31B4E"/>
    <w:rsid w:val="00E3384C"/>
    <w:rsid w:val="00E34E86"/>
    <w:rsid w:val="00E35478"/>
    <w:rsid w:val="00E359CA"/>
    <w:rsid w:val="00E3673D"/>
    <w:rsid w:val="00E37559"/>
    <w:rsid w:val="00E41835"/>
    <w:rsid w:val="00E42776"/>
    <w:rsid w:val="00E4454D"/>
    <w:rsid w:val="00E44EF3"/>
    <w:rsid w:val="00E45A89"/>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244B"/>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AD"/>
    <w:rsid w:val="00F2776C"/>
    <w:rsid w:val="00F27C7B"/>
    <w:rsid w:val="00F27D5E"/>
    <w:rsid w:val="00F301CA"/>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5DB6"/>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2436"/>
    <w:rsid w:val="00FA37F1"/>
    <w:rsid w:val="00FA49ED"/>
    <w:rsid w:val="00FA4D4C"/>
    <w:rsid w:val="00FA5D92"/>
    <w:rsid w:val="00FA73F2"/>
    <w:rsid w:val="00FA7C6D"/>
    <w:rsid w:val="00FB03EA"/>
    <w:rsid w:val="00FB1962"/>
    <w:rsid w:val="00FB1ABE"/>
    <w:rsid w:val="00FB2D76"/>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D7B"/>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76427BB-6115-4195-9B6E-26457683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A2115E"/>
    <w:rPr>
      <w:rFonts w:eastAsia="Malgun Gothic"/>
      <w:b/>
      <w:bCs/>
      <w:lang w:val="en-GB" w:eastAsia="en-US"/>
    </w:rPr>
  </w:style>
  <w:style w:type="character" w:styleId="Hyperlink">
    <w:name w:val="Hyperlink"/>
    <w:uiPriority w:val="99"/>
    <w:rsid w:val="00FB2D76"/>
    <w:rPr>
      <w:color w:val="0000FF"/>
      <w:u w:val="single"/>
    </w:rPr>
  </w:style>
  <w:style w:type="table" w:customStyle="1" w:styleId="GridTable1Light1">
    <w:name w:val="Grid Table 1 Light1"/>
    <w:basedOn w:val="TableNormal"/>
    <w:uiPriority w:val="46"/>
    <w:rsid w:val="00FB1A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10918701">
      <w:bodyDiv w:val="1"/>
      <w:marLeft w:val="0"/>
      <w:marRight w:val="0"/>
      <w:marTop w:val="0"/>
      <w:marBottom w:val="0"/>
      <w:divBdr>
        <w:top w:val="none" w:sz="0" w:space="0" w:color="auto"/>
        <w:left w:val="none" w:sz="0" w:space="0" w:color="auto"/>
        <w:bottom w:val="none" w:sz="0" w:space="0" w:color="auto"/>
        <w:right w:val="none" w:sz="0" w:space="0" w:color="auto"/>
      </w:divBdr>
    </w:div>
    <w:div w:id="244926126">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3051438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9665945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11529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230797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9880306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chart" Target="charts/chart4.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1" i="0" u="none" strike="noStrike" kern="1200" cap="none" spc="0" normalizeH="0" baseline="0">
                <a:solidFill>
                  <a:schemeClr val="dk1">
                    <a:lumMod val="50000"/>
                    <a:lumOff val="50000"/>
                  </a:schemeClr>
                </a:solidFill>
                <a:latin typeface="+mj-lt"/>
                <a:ea typeface="+mj-ea"/>
                <a:cs typeface="+mj-cs"/>
              </a:defRPr>
            </a:pPr>
            <a:r>
              <a:rPr lang="en-US" sz="1050"/>
              <a:t>LTE UL 4Tx CB</a:t>
            </a:r>
          </a:p>
        </c:rich>
      </c:tx>
      <c:overlay val="0"/>
      <c:spPr>
        <a:noFill/>
        <a:ln>
          <a:noFill/>
        </a:ln>
        <a:effectLst/>
      </c:spPr>
      <c:txPr>
        <a:bodyPr rot="0" spcFirstLastPara="1" vertOverflow="ellipsis" vert="horz" wrap="square" anchor="ctr" anchorCtr="1"/>
        <a:lstStyle/>
        <a:p>
          <a:pPr>
            <a:defRPr sz="105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1819304261648462E-2"/>
          <c:y val="0.2754568608599916"/>
          <c:w val="0.85591720018898954"/>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1.0202964152734175</c:v>
                </c:pt>
                <c:pt idx="1">
                  <c:v>1.0198198198198196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1.1024311893115282</c:v>
                </c:pt>
                <c:pt idx="1">
                  <c:v>1.3261261261261259</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1.1715704168796088</c:v>
                </c:pt>
                <c:pt idx="1">
                  <c:v>1.4738738738738737</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1.2165072643644594</c:v>
                </c:pt>
                <c:pt idx="1">
                  <c:v>1.7279279279279278</c:v>
                </c:pt>
              </c:numCache>
            </c:numRef>
          </c:val>
        </c:ser>
        <c:dLbls>
          <c:dLblPos val="outEnd"/>
          <c:showLegendKey val="0"/>
          <c:showVal val="1"/>
          <c:showCatName val="0"/>
          <c:showSerName val="0"/>
          <c:showPercent val="0"/>
          <c:showBubbleSize val="0"/>
        </c:dLbls>
        <c:gapWidth val="267"/>
        <c:overlap val="-43"/>
        <c:axId val="409117136"/>
        <c:axId val="409117528"/>
      </c:barChart>
      <c:catAx>
        <c:axId val="40911713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7136"/>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811389082693787E-2"/>
          <c:y val="0.2754568608599916"/>
          <c:w val="0.86492508056746076"/>
          <c:h val="0.55456550729581788"/>
        </c:manualLayout>
      </c:layout>
      <c:barChart>
        <c:barDir val="col"/>
        <c:grouping val="clustered"/>
        <c:varyColors val="0"/>
        <c:ser>
          <c:idx val="0"/>
          <c:order val="0"/>
          <c:tx>
            <c:strRef>
              <c:f>Sheet1!$B$1</c:f>
              <c:strCache>
                <c:ptCount val="1"/>
                <c:pt idx="0">
                  <c:v>LTE Rel 10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1.2323019221753397</c:v>
                </c:pt>
                <c:pt idx="1">
                  <c:v>1.3259098672973328</c:v>
                </c:pt>
                <c:pt idx="2">
                  <c:v>3.9399999999999995</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267"/>
        <c:overlap val="-43"/>
        <c:axId val="412102224"/>
        <c:axId val="412102616"/>
      </c:barChart>
      <c:catAx>
        <c:axId val="41210222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2102616"/>
        <c:crosses val="autoZero"/>
        <c:auto val="1"/>
        <c:lblAlgn val="ctr"/>
        <c:lblOffset val="100"/>
        <c:noMultiLvlLbl val="0"/>
      </c:catAx>
      <c:valAx>
        <c:axId val="412102616"/>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2102224"/>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579872258456939E-2"/>
          <c:y val="0.2754568608599916"/>
          <c:w val="0.86615626372883647"/>
          <c:h val="0.55456550729581788"/>
        </c:manualLayout>
      </c:layout>
      <c:barChart>
        <c:barDir val="col"/>
        <c:grouping val="clustered"/>
        <c:varyColors val="0"/>
        <c:ser>
          <c:idx val="0"/>
          <c:order val="0"/>
          <c:tx>
            <c:strRef>
              <c:f>Sheet1!$B$1</c:f>
              <c:strCache>
                <c:ptCount val="1"/>
                <c:pt idx="0">
                  <c:v>LTE Rel 10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1.19393857394128</c:v>
                </c:pt>
                <c:pt idx="1">
                  <c:v>1.2635504724017901</c:v>
                </c:pt>
                <c:pt idx="2">
                  <c:v>2.2200267916945742</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267"/>
        <c:overlap val="-43"/>
        <c:axId val="411258912"/>
        <c:axId val="411259304"/>
      </c:barChart>
      <c:catAx>
        <c:axId val="4112589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1259304"/>
        <c:crosses val="autoZero"/>
        <c:auto val="1"/>
        <c:lblAlgn val="ctr"/>
        <c:lblOffset val="100"/>
        <c:noMultiLvlLbl val="0"/>
      </c:catAx>
      <c:valAx>
        <c:axId val="411259304"/>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1258912"/>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LTE UL 4Tx CB</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27545669291338581"/>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10</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20</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30</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40</c:v>
                </c:pt>
              </c:numCache>
            </c:numRef>
          </c:val>
        </c:ser>
        <c:dLbls>
          <c:dLblPos val="outEnd"/>
          <c:showLegendKey val="0"/>
          <c:showVal val="1"/>
          <c:showCatName val="0"/>
          <c:showSerName val="0"/>
          <c:showPercent val="0"/>
          <c:showBubbleSize val="0"/>
        </c:dLbls>
        <c:gapWidth val="267"/>
        <c:overlap val="-43"/>
        <c:axId val="409118312"/>
        <c:axId val="409118704"/>
      </c:barChart>
      <c:catAx>
        <c:axId val="40911831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8704"/>
        <c:crosses val="autoZero"/>
        <c:auto val="1"/>
        <c:lblAlgn val="ctr"/>
        <c:lblOffset val="100"/>
        <c:noMultiLvlLbl val="0"/>
      </c:catAx>
      <c:valAx>
        <c:axId val="409118704"/>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8312"/>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0.0%</c:formatCode>
                <c:ptCount val="2"/>
                <c:pt idx="0">
                  <c:v>1.0064030858244937</c:v>
                </c:pt>
                <c:pt idx="1">
                  <c:v>1.0414078674948239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0.0%</c:formatCode>
                <c:ptCount val="2"/>
                <c:pt idx="0">
                  <c:v>1.0908775313404049</c:v>
                </c:pt>
                <c:pt idx="1">
                  <c:v>1.2318840579710144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0.0%</c:formatCode>
                <c:ptCount val="2"/>
                <c:pt idx="0">
                  <c:v>1.159228543876567</c:v>
                </c:pt>
                <c:pt idx="1">
                  <c:v>1.5300207039337475</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0.0%</c:formatCode>
                <c:ptCount val="2"/>
                <c:pt idx="0">
                  <c:v>1.2046287367405979</c:v>
                </c:pt>
                <c:pt idx="1">
                  <c:v>1.8964803312629401</c:v>
                </c:pt>
              </c:numCache>
            </c:numRef>
          </c:val>
        </c:ser>
        <c:dLbls>
          <c:dLblPos val="outEnd"/>
          <c:showLegendKey val="0"/>
          <c:showVal val="1"/>
          <c:showCatName val="0"/>
          <c:showSerName val="0"/>
          <c:showPercent val="0"/>
          <c:showBubbleSize val="0"/>
        </c:dLbls>
        <c:gapWidth val="267"/>
        <c:overlap val="-43"/>
        <c:axId val="409119488"/>
        <c:axId val="409119880"/>
      </c:barChart>
      <c:catAx>
        <c:axId val="40911948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19880"/>
        <c:crosses val="autoZero"/>
        <c:auto val="1"/>
        <c:lblAlgn val="ctr"/>
        <c:lblOffset val="100"/>
        <c:noMultiLvlLbl val="0"/>
      </c:catAx>
      <c:valAx>
        <c:axId val="409119880"/>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19488"/>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4Tx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0916270806123241E-2"/>
          <c:y val="0.2754568608599916"/>
          <c:w val="0.8668200093437865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5</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7</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15</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19</c:v>
                </c:pt>
              </c:numCache>
            </c:numRef>
          </c:val>
        </c:ser>
        <c:dLbls>
          <c:dLblPos val="outEnd"/>
          <c:showLegendKey val="0"/>
          <c:showVal val="1"/>
          <c:showCatName val="0"/>
          <c:showSerName val="0"/>
          <c:showPercent val="0"/>
          <c:showBubbleSize val="0"/>
        </c:dLbls>
        <c:gapWidth val="267"/>
        <c:overlap val="-43"/>
        <c:axId val="409120664"/>
        <c:axId val="409121056"/>
      </c:barChart>
      <c:catAx>
        <c:axId val="40912066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1056"/>
        <c:crosses val="autoZero"/>
        <c:auto val="1"/>
        <c:lblAlgn val="ctr"/>
        <c:lblOffset val="100"/>
        <c:noMultiLvlLbl val="0"/>
      </c:catAx>
      <c:valAx>
        <c:axId val="409121056"/>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0664"/>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8Tx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8.6000780322698006E-2"/>
          <c:y val="0.2754568608599916"/>
          <c:w val="0.85173572412793996"/>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1.0008124301817813</c:v>
                </c:pt>
                <c:pt idx="1">
                  <c:v>0.97872340425531912</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1.0715615585118987</c:v>
                </c:pt>
                <c:pt idx="1">
                  <c:v>1.185579196217494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1.1287363325547544</c:v>
                </c:pt>
                <c:pt idx="1">
                  <c:v>1.5756501182033098</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1.1692901391286687</c:v>
                </c:pt>
                <c:pt idx="1">
                  <c:v>2.1926713947990546</c:v>
                </c:pt>
              </c:numCache>
            </c:numRef>
          </c:val>
        </c:ser>
        <c:dLbls>
          <c:dLblPos val="outEnd"/>
          <c:showLegendKey val="0"/>
          <c:showVal val="1"/>
          <c:showCatName val="0"/>
          <c:showSerName val="0"/>
          <c:showPercent val="0"/>
          <c:showBubbleSize val="0"/>
        </c:dLbls>
        <c:gapWidth val="267"/>
        <c:overlap val="-43"/>
        <c:axId val="409121840"/>
        <c:axId val="409122232"/>
      </c:barChart>
      <c:catAx>
        <c:axId val="40912184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2232"/>
        <c:crosses val="autoZero"/>
        <c:auto val="1"/>
        <c:lblAlgn val="ctr"/>
        <c:lblOffset val="100"/>
        <c:noMultiLvlLbl val="0"/>
      </c:catAx>
      <c:valAx>
        <c:axId val="409122232"/>
        <c:scaling>
          <c:orientation val="minMax"/>
          <c:max val="2.5"/>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1840"/>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r>
              <a:rPr lang="en-US" sz="1000"/>
              <a:t>NR Type I 8Tx CB, L = 1</a:t>
            </a:r>
          </a:p>
        </c:rich>
      </c:tx>
      <c:overlay val="0"/>
      <c:spPr>
        <a:noFill/>
        <a:ln>
          <a:noFill/>
        </a:ln>
        <a:effectLst/>
      </c:spPr>
      <c:txPr>
        <a:bodyPr rot="0" spcFirstLastPara="1" vertOverflow="ellipsis" vert="horz" wrap="square" anchor="ctr" anchorCtr="1"/>
        <a:lstStyle/>
        <a:p>
          <a:pPr>
            <a:defRPr sz="1000" b="1" i="0" u="none" strike="noStrike" kern="1200" cap="none" spc="0" normalizeH="0" baseline="0">
              <a:solidFill>
                <a:schemeClr val="dk1">
                  <a:lumMod val="50000"/>
                  <a:lumOff val="50000"/>
                </a:schemeClr>
              </a:solidFill>
              <a:latin typeface="+mj-lt"/>
              <a:ea typeface="+mj-ea"/>
              <a:cs typeface="+mj-cs"/>
            </a:defRPr>
          </a:pPr>
          <a:endParaRPr lang="en-US"/>
        </a:p>
      </c:txPr>
    </c:title>
    <c:autoTitleDeleted val="0"/>
    <c:plotArea>
      <c:layout>
        <c:manualLayout>
          <c:layoutTarget val="inner"/>
          <c:xMode val="edge"/>
          <c:yMode val="edge"/>
          <c:x val="7.9578029143065623E-2"/>
          <c:y val="0.2754568608599916"/>
          <c:w val="0.85815825100684417"/>
          <c:h val="0.55456550729581788"/>
        </c:manualLayout>
      </c:layout>
      <c:barChart>
        <c:barDir val="col"/>
        <c:grouping val="clustered"/>
        <c:varyColors val="0"/>
        <c:ser>
          <c:idx val="0"/>
          <c:order val="0"/>
          <c:tx>
            <c:strRef>
              <c:f>Sheet1!$B$1</c:f>
              <c:strCache>
                <c:ptCount val="1"/>
                <c:pt idx="0">
                  <c:v>N =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Sheet1!$B$2</c:f>
              <c:numCache>
                <c:formatCode>General</c:formatCode>
                <c:ptCount val="1"/>
                <c:pt idx="0">
                  <c:v>6</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Sheet1!$C$2</c:f>
              <c:numCache>
                <c:formatCode>General</c:formatCode>
                <c:ptCount val="1"/>
                <c:pt idx="0">
                  <c:v>8</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4</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Sheet1!$D$2</c:f>
              <c:numCache>
                <c:formatCode>General</c:formatCode>
                <c:ptCount val="1"/>
                <c:pt idx="0">
                  <c:v>12</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6</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Sheet1!$E$2</c:f>
              <c:numCache>
                <c:formatCode>General</c:formatCode>
                <c:ptCount val="1"/>
                <c:pt idx="0">
                  <c:v>16</c:v>
                </c:pt>
              </c:numCache>
            </c:numRef>
          </c:val>
        </c:ser>
        <c:ser>
          <c:idx val="4"/>
          <c:order val="4"/>
          <c:tx>
            <c:strRef>
              <c:f>Sheet1!$F$1</c:f>
              <c:strCache>
                <c:ptCount val="1"/>
                <c:pt idx="0">
                  <c:v>N = 8</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Payload</c:v>
                </c:pt>
              </c:strCache>
            </c:strRef>
          </c:cat>
          <c:val>
            <c:numRef>
              <c:f>Sheet1!$F$2</c:f>
              <c:numCache>
                <c:formatCode>General</c:formatCode>
                <c:ptCount val="1"/>
                <c:pt idx="0">
                  <c:v>20</c:v>
                </c:pt>
              </c:numCache>
            </c:numRef>
          </c:val>
        </c:ser>
        <c:dLbls>
          <c:dLblPos val="outEnd"/>
          <c:showLegendKey val="0"/>
          <c:showVal val="1"/>
          <c:showCatName val="0"/>
          <c:showSerName val="0"/>
          <c:showPercent val="0"/>
          <c:showBubbleSize val="0"/>
        </c:dLbls>
        <c:gapWidth val="267"/>
        <c:overlap val="-43"/>
        <c:axId val="409123016"/>
        <c:axId val="409123408"/>
      </c:barChart>
      <c:catAx>
        <c:axId val="40912301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3408"/>
        <c:crosses val="autoZero"/>
        <c:auto val="1"/>
        <c:lblAlgn val="ctr"/>
        <c:lblOffset val="100"/>
        <c:noMultiLvlLbl val="0"/>
      </c:catAx>
      <c:valAx>
        <c:axId val="409123408"/>
        <c:scaling>
          <c:orientation val="minMax"/>
          <c:max val="50"/>
          <c:min val="0"/>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3016"/>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5288231111579277E-2"/>
          <c:y val="0.25084142943670507"/>
          <c:w val="0.94927079767203015"/>
          <c:h val="0.62225802543912778"/>
        </c:manualLayout>
      </c:layout>
      <c:barChart>
        <c:barDir val="col"/>
        <c:grouping val="clustered"/>
        <c:varyColors val="0"/>
        <c:ser>
          <c:idx val="0"/>
          <c:order val="0"/>
          <c:tx>
            <c:strRef>
              <c:f>Sheet1!$B$1</c:f>
              <c:strCache>
                <c:ptCount val="1"/>
                <c:pt idx="0">
                  <c:v>N = 1, 4-Tx</c:v>
                </c:pt>
              </c:strCache>
            </c:strRef>
          </c:tx>
          <c:spPr>
            <a:solidFill>
              <a:schemeClr val="accent6"/>
            </a:solidFill>
            <a:ln>
              <a:noFill/>
            </a:ln>
            <a:effectLst/>
          </c:spPr>
          <c:invertIfNegative val="0"/>
          <c:dLbls>
            <c:dLbl>
              <c:idx val="0"/>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dLbl>
            <c:dLbl>
              <c:idx val="1"/>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1, 8-Tx</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1.1394792671166827</c:v>
                </c:pt>
                <c:pt idx="1">
                  <c:v>1.7515527950310559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2, 4-Tx</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Sheet1!$D$2:$D$3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2, 8-Tx</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Sheet1!$E$2:$E$3</c:f>
              <c:numCache>
                <c:formatCode>General</c:formatCode>
                <c:ptCount val="2"/>
                <c:pt idx="0">
                  <c:v>1.1331493618489135</c:v>
                </c:pt>
                <c:pt idx="1">
                  <c:v>1.6461232604373757</c:v>
                </c:pt>
              </c:numCache>
            </c:numRef>
          </c:val>
        </c:ser>
        <c:ser>
          <c:idx val="4"/>
          <c:order val="4"/>
          <c:tx>
            <c:strRef>
              <c:f>Sheet1!$F$1</c:f>
              <c:strCache>
                <c:ptCount val="1"/>
                <c:pt idx="0">
                  <c:v>N = 4, 4-Tx</c:v>
                </c:pt>
              </c:strCache>
            </c:strRef>
          </c:tx>
          <c:spPr>
            <a:solidFill>
              <a:schemeClr val="accent5">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Sheet1!$F$2:$F$3</c:f>
              <c:numCache>
                <c:formatCode>General</c:formatCode>
                <c:ptCount val="2"/>
                <c:pt idx="0">
                  <c:v>1</c:v>
                </c:pt>
                <c:pt idx="1">
                  <c:v>1</c:v>
                </c:pt>
              </c:numCache>
            </c:numRef>
          </c:val>
        </c:ser>
        <c:ser>
          <c:idx val="5"/>
          <c:order val="5"/>
          <c:tx>
            <c:strRef>
              <c:f>Sheet1!$G$1</c:f>
              <c:strCache>
                <c:ptCount val="1"/>
                <c:pt idx="0">
                  <c:v>N = 4, 8-Tx</c:v>
                </c:pt>
              </c:strCache>
            </c:strRef>
          </c:tx>
          <c:spPr>
            <a:solidFill>
              <a:schemeClr val="accent4">
                <a:lumMod val="6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Sheet1!$G$2:$G$3</c:f>
              <c:numCache>
                <c:formatCode>General</c:formatCode>
                <c:ptCount val="2"/>
                <c:pt idx="0">
                  <c:v>1.1193027120681731</c:v>
                </c:pt>
                <c:pt idx="1">
                  <c:v>1.6857142857142855</c:v>
                </c:pt>
              </c:numCache>
            </c:numRef>
          </c:val>
        </c:ser>
        <c:ser>
          <c:idx val="6"/>
          <c:order val="6"/>
          <c:tx>
            <c:strRef>
              <c:f>Sheet1!$H$1</c:f>
              <c:strCache>
                <c:ptCount val="1"/>
                <c:pt idx="0">
                  <c:v>N = 6, 4-Tx</c:v>
                </c:pt>
              </c:strCache>
            </c:strRef>
          </c:tx>
          <c:spPr>
            <a:solidFill>
              <a:schemeClr val="accent6">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Sheet1!$H$2:$H$3</c:f>
              <c:numCache>
                <c:formatCode>General</c:formatCode>
                <c:ptCount val="2"/>
                <c:pt idx="0">
                  <c:v>1</c:v>
                </c:pt>
                <c:pt idx="1">
                  <c:v>1</c:v>
                </c:pt>
              </c:numCache>
            </c:numRef>
          </c:val>
        </c:ser>
        <c:ser>
          <c:idx val="7"/>
          <c:order val="7"/>
          <c:tx>
            <c:strRef>
              <c:f>Sheet1!$I$1</c:f>
              <c:strCache>
                <c:ptCount val="1"/>
                <c:pt idx="0">
                  <c:v>N = 6, 8-Tx</c:v>
                </c:pt>
              </c:strCache>
            </c:strRef>
          </c:tx>
          <c:spPr>
            <a:solidFill>
              <a:schemeClr val="accent5">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Sheet1!$I$2:$I$3</c:f>
              <c:numCache>
                <c:formatCode>General</c:formatCode>
                <c:ptCount val="2"/>
                <c:pt idx="0">
                  <c:v>1.1095065384487406</c:v>
                </c:pt>
                <c:pt idx="1">
                  <c:v>1.8037889039242219</c:v>
                </c:pt>
              </c:numCache>
            </c:numRef>
          </c:val>
        </c:ser>
        <c:ser>
          <c:idx val="8"/>
          <c:order val="8"/>
          <c:tx>
            <c:strRef>
              <c:f>Sheet1!$J$1</c:f>
              <c:strCache>
                <c:ptCount val="1"/>
                <c:pt idx="0">
                  <c:v>N = 8, 4-Tx</c:v>
                </c:pt>
              </c:strCache>
            </c:strRef>
          </c:tx>
          <c:spPr>
            <a:solidFill>
              <a:schemeClr val="accent4">
                <a:lumMod val="80000"/>
                <a:lumOff val="2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Sheet1!$J$2:$J$3</c:f>
              <c:numCache>
                <c:formatCode>General</c:formatCode>
                <c:ptCount val="2"/>
                <c:pt idx="0">
                  <c:v>1</c:v>
                </c:pt>
                <c:pt idx="1">
                  <c:v>1</c:v>
                </c:pt>
              </c:numCache>
            </c:numRef>
          </c:val>
        </c:ser>
        <c:ser>
          <c:idx val="9"/>
          <c:order val="9"/>
          <c:tx>
            <c:strRef>
              <c:f>Sheet1!$K$1</c:f>
              <c:strCache>
                <c:ptCount val="1"/>
                <c:pt idx="0">
                  <c:v>N = 8, 8-Tx</c:v>
                </c:pt>
              </c:strCache>
            </c:strRef>
          </c:tx>
          <c:spPr>
            <a:solidFill>
              <a:schemeClr val="accent6">
                <a:lumMod val="80000"/>
              </a:schemeClr>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Sheet1!$K$2:$K$3</c:f>
              <c:numCache>
                <c:formatCode>General</c:formatCode>
                <c:ptCount val="2"/>
                <c:pt idx="0">
                  <c:v>1.1060518731988473</c:v>
                </c:pt>
                <c:pt idx="1">
                  <c:v>2.0251091703056767</c:v>
                </c:pt>
              </c:numCache>
            </c:numRef>
          </c:val>
        </c:ser>
        <c:dLbls>
          <c:dLblPos val="outEnd"/>
          <c:showLegendKey val="0"/>
          <c:showVal val="1"/>
          <c:showCatName val="0"/>
          <c:showSerName val="0"/>
          <c:showPercent val="0"/>
          <c:showBubbleSize val="0"/>
        </c:dLbls>
        <c:gapWidth val="267"/>
        <c:overlap val="-43"/>
        <c:axId val="409124192"/>
        <c:axId val="409124584"/>
      </c:barChart>
      <c:catAx>
        <c:axId val="40912419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09124584"/>
        <c:crosses val="autoZero"/>
        <c:auto val="1"/>
        <c:lblAlgn val="ctr"/>
        <c:lblOffset val="100"/>
        <c:noMultiLvlLbl val="0"/>
      </c:catAx>
      <c:valAx>
        <c:axId val="409124584"/>
        <c:scaling>
          <c:orientation val="minMax"/>
          <c:max val="2.2000000000000002"/>
          <c:min val="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09124192"/>
        <c:crosses val="autoZero"/>
        <c:crossBetween val="between"/>
      </c:valAx>
      <c:spPr>
        <a:pattFill prst="ltDnDiag">
          <a:fgClr>
            <a:schemeClr val="dk1">
              <a:lumMod val="15000"/>
              <a:lumOff val="85000"/>
            </a:schemeClr>
          </a:fgClr>
          <a:bgClr>
            <a:schemeClr val="lt1"/>
          </a:bgClr>
        </a:pattFill>
        <a:ln>
          <a:noFill/>
        </a:ln>
        <a:effectLst/>
      </c:spPr>
    </c:plotArea>
    <c:legend>
      <c:legendPos val="t"/>
      <c:layout>
        <c:manualLayout>
          <c:xMode val="edge"/>
          <c:yMode val="edge"/>
          <c:x val="3.6129179504735827E-2"/>
          <c:y val="2.8619127116622942E-2"/>
          <c:w val="0.94557887621906811"/>
          <c:h val="0.163132029197518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6888015847913313E-2"/>
          <c:y val="0.2754568608599916"/>
          <c:w val="0.8608483294767858"/>
          <c:h val="0.55456550729581788"/>
        </c:manualLayout>
      </c:layout>
      <c:barChart>
        <c:barDir val="col"/>
        <c:grouping val="clustered"/>
        <c:varyColors val="0"/>
        <c:ser>
          <c:idx val="0"/>
          <c:order val="0"/>
          <c:tx>
            <c:strRef>
              <c:f>Sheet1!$B$1</c:f>
              <c:strCache>
                <c:ptCount val="1"/>
                <c:pt idx="0">
                  <c:v>LTE UL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12 DL CB</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1.0563164847389279</c:v>
                </c:pt>
                <c:pt idx="1">
                  <c:v>1.0648758236188547</c:v>
                </c:pt>
                <c:pt idx="2">
                  <c:v>1.3780068728522339</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1.2684419105888898</c:v>
                </c:pt>
                <c:pt idx="1">
                  <c:v>1.4342794390944416</c:v>
                </c:pt>
                <c:pt idx="2">
                  <c:v>4.8384879725085908</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267"/>
        <c:overlap val="-43"/>
        <c:axId val="412099872"/>
        <c:axId val="412100264"/>
      </c:barChart>
      <c:catAx>
        <c:axId val="41209987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2100264"/>
        <c:crosses val="autoZero"/>
        <c:auto val="1"/>
        <c:lblAlgn val="ctr"/>
        <c:lblOffset val="100"/>
        <c:noMultiLvlLbl val="0"/>
      </c:catAx>
      <c:valAx>
        <c:axId val="412100264"/>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2099872"/>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575957100190064E-2"/>
          <c:y val="0.27545695413665711"/>
          <c:w val="0.85785025794189518"/>
          <c:h val="0.55456550729581788"/>
        </c:manualLayout>
      </c:layout>
      <c:barChart>
        <c:barDir val="col"/>
        <c:grouping val="clustered"/>
        <c:varyColors val="0"/>
        <c:ser>
          <c:idx val="0"/>
          <c:order val="0"/>
          <c:tx>
            <c:strRef>
              <c:f>Sheet1!$B$1</c:f>
              <c:strCache>
                <c:ptCount val="1"/>
                <c:pt idx="0">
                  <c:v>LTE UL CB</c:v>
                </c:pt>
              </c:strCache>
            </c:strRef>
          </c:tx>
          <c:spPr>
            <a:solidFill>
              <a:schemeClr val="accent6"/>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12 DL CB</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1.0415268180322474</c:v>
                </c:pt>
                <c:pt idx="1">
                  <c:v>1.0508063054901251</c:v>
                </c:pt>
                <c:pt idx="2">
                  <c:v>1.5110336817653891</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1.2333991444554129</c:v>
                </c:pt>
                <c:pt idx="1">
                  <c:v>1.3251676028265991</c:v>
                </c:pt>
                <c:pt idx="2">
                  <c:v>3.8838559814169571</c:v>
                </c:pt>
              </c:numCache>
            </c:numRef>
          </c:val>
          <c:extLst xmlns:c16r2="http://schemas.microsoft.com/office/drawing/2015/06/chart">
            <c:ext xmlns:c16="http://schemas.microsoft.com/office/drawing/2014/chart" uri="{C3380CC4-5D6E-409C-BE32-E72D297353CC}">
              <c16:uniqueId val="{00000002-FA7B-4F02-92A9-5D14A2BFF6C4}"/>
            </c:ext>
          </c:extLst>
        </c:ser>
        <c:dLbls>
          <c:dLblPos val="outEnd"/>
          <c:showLegendKey val="0"/>
          <c:showVal val="1"/>
          <c:showCatName val="0"/>
          <c:showSerName val="0"/>
          <c:showPercent val="0"/>
          <c:showBubbleSize val="0"/>
        </c:dLbls>
        <c:gapWidth val="267"/>
        <c:overlap val="-43"/>
        <c:axId val="412101048"/>
        <c:axId val="412101440"/>
      </c:barChart>
      <c:catAx>
        <c:axId val="41210104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412101440"/>
        <c:crosses val="autoZero"/>
        <c:auto val="1"/>
        <c:lblAlgn val="ctr"/>
        <c:lblOffset val="100"/>
        <c:noMultiLvlLbl val="0"/>
      </c:catAx>
      <c:valAx>
        <c:axId val="412101440"/>
        <c:scaling>
          <c:orientation val="minMax"/>
          <c:max val="5"/>
          <c:min val="0.60000000000000009"/>
        </c:scaling>
        <c:delete val="1"/>
        <c:axPos val="l"/>
        <c:majorGridlines>
          <c:spPr>
            <a:ln w="9525" cap="flat" cmpd="sng" algn="ctr">
              <a:solidFill>
                <a:schemeClr val="dk1">
                  <a:lumMod val="15000"/>
                  <a:lumOff val="85000"/>
                </a:schemeClr>
              </a:solidFill>
              <a:round/>
            </a:ln>
            <a:effectLst/>
          </c:spPr>
        </c:majorGridlines>
        <c:numFmt formatCode="0%" sourceLinked="0"/>
        <c:majorTickMark val="none"/>
        <c:minorTickMark val="none"/>
        <c:tickLblPos val="nextTo"/>
        <c:crossAx val="412101048"/>
        <c:crosses val="autoZero"/>
        <c:crossBetween val="between"/>
      </c:valAx>
      <c:spPr>
        <a:pattFill prst="ltDnDiag">
          <a:fgClr>
            <a:schemeClr val="dk1">
              <a:lumMod val="15000"/>
              <a:lumOff val="85000"/>
            </a:schemeClr>
          </a:fgClr>
          <a:bgClr>
            <a:schemeClr val="lt1"/>
          </a:bgClr>
        </a:patt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0.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2.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3.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4.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5.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6.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7.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8.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9.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51008-F0EA-401F-A39D-A02AF4B6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Pages>
  <Words>4692</Words>
  <Characters>26751</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15</cp:revision>
  <cp:lastPrinted>2012-03-15T10:36:00Z</cp:lastPrinted>
  <dcterms:created xsi:type="dcterms:W3CDTF">2017-08-10T19:43:00Z</dcterms:created>
  <dcterms:modified xsi:type="dcterms:W3CDTF">2017-09-11T18:03:00Z</dcterms:modified>
</cp:coreProperties>
</file>